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3095E">
      <w:pPr>
        <w:rPr>
          <w:sz w:val="36"/>
          <w:szCs w:val="36"/>
        </w:rPr>
      </w:pPr>
      <w:r>
        <w:rPr>
          <w:rFonts w:hint="eastAsia"/>
          <w:sz w:val="36"/>
          <w:szCs w:val="36"/>
        </w:rPr>
        <w:t>附件4：</w:t>
      </w:r>
    </w:p>
    <w:p w14:paraId="5FF7A0DC">
      <w:pPr>
        <w:jc w:val="center"/>
        <w:rPr>
          <w:sz w:val="32"/>
          <w:szCs w:val="32"/>
        </w:rPr>
      </w:pPr>
      <w:bookmarkStart w:id="0" w:name="_GoBack"/>
      <w:r>
        <w:rPr>
          <w:rFonts w:hint="eastAsia"/>
          <w:sz w:val="32"/>
          <w:szCs w:val="32"/>
        </w:rPr>
        <w:t>市场调研参数表（模板）</w:t>
      </w:r>
    </w:p>
    <w:bookmarkEnd w:id="0"/>
    <w:tbl>
      <w:tblPr>
        <w:tblStyle w:val="4"/>
        <w:tblW w:w="5025"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393"/>
        <w:gridCol w:w="951"/>
        <w:gridCol w:w="481"/>
        <w:gridCol w:w="525"/>
        <w:gridCol w:w="6111"/>
      </w:tblGrid>
      <w:tr w14:paraId="512FF7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73B0F2E1">
            <w:pPr>
              <w:spacing w:line="370" w:lineRule="exact"/>
              <w:jc w:val="center"/>
              <w:rPr>
                <w:rFonts w:ascii="宋体" w:hAnsi="宋体" w:cs="宋体"/>
                <w:szCs w:val="21"/>
              </w:rPr>
            </w:pPr>
            <w:r>
              <w:rPr>
                <w:rFonts w:hint="eastAsia" w:ascii="宋体" w:hAnsi="宋体" w:cs="宋体"/>
                <w:szCs w:val="21"/>
              </w:rPr>
              <w:t>序号</w:t>
            </w:r>
          </w:p>
        </w:tc>
        <w:tc>
          <w:tcPr>
            <w:tcW w:w="519" w:type="pct"/>
            <w:tcBorders>
              <w:top w:val="single" w:color="auto" w:sz="4" w:space="0"/>
              <w:left w:val="single" w:color="auto" w:sz="4" w:space="0"/>
              <w:bottom w:val="single" w:color="auto" w:sz="4" w:space="0"/>
              <w:right w:val="single" w:color="auto" w:sz="4" w:space="0"/>
            </w:tcBorders>
            <w:vAlign w:val="center"/>
          </w:tcPr>
          <w:p w14:paraId="089B3352">
            <w:pPr>
              <w:spacing w:line="370" w:lineRule="exact"/>
              <w:jc w:val="center"/>
              <w:rPr>
                <w:rFonts w:ascii="宋体" w:hAnsi="宋体" w:cs="宋体"/>
                <w:szCs w:val="21"/>
              </w:rPr>
            </w:pPr>
            <w:r>
              <w:rPr>
                <w:rFonts w:hint="eastAsia" w:ascii="宋体" w:hAnsi="宋体" w:cs="宋体"/>
                <w:szCs w:val="21"/>
                <w:lang w:eastAsia="zh-CN"/>
              </w:rPr>
              <w:t>设备</w:t>
            </w:r>
            <w:r>
              <w:rPr>
                <w:rFonts w:hint="eastAsia" w:ascii="宋体" w:hAnsi="宋体" w:cs="宋体"/>
                <w:szCs w:val="21"/>
              </w:rPr>
              <w:t>名称</w:t>
            </w:r>
          </w:p>
        </w:tc>
        <w:tc>
          <w:tcPr>
            <w:tcW w:w="295" w:type="pct"/>
            <w:tcBorders>
              <w:top w:val="single" w:color="auto" w:sz="4" w:space="0"/>
              <w:left w:val="single" w:color="auto" w:sz="4" w:space="0"/>
              <w:bottom w:val="single" w:color="auto" w:sz="4" w:space="0"/>
              <w:right w:val="single" w:color="auto" w:sz="4" w:space="0"/>
            </w:tcBorders>
            <w:vAlign w:val="center"/>
          </w:tcPr>
          <w:p w14:paraId="5B6A8511">
            <w:pPr>
              <w:spacing w:line="370" w:lineRule="exact"/>
              <w:jc w:val="center"/>
              <w:rPr>
                <w:rFonts w:ascii="宋体" w:hAnsi="宋体" w:cs="宋体"/>
                <w:szCs w:val="21"/>
              </w:rPr>
            </w:pPr>
            <w:r>
              <w:rPr>
                <w:rFonts w:hint="eastAsia" w:ascii="宋体" w:hAnsi="宋体" w:cs="宋体"/>
                <w:szCs w:val="21"/>
              </w:rPr>
              <w:t>数量</w:t>
            </w:r>
          </w:p>
        </w:tc>
        <w:tc>
          <w:tcPr>
            <w:tcW w:w="321" w:type="pct"/>
            <w:tcBorders>
              <w:top w:val="single" w:color="auto" w:sz="4" w:space="0"/>
              <w:left w:val="single" w:color="auto" w:sz="4" w:space="0"/>
              <w:bottom w:val="single" w:color="auto" w:sz="4" w:space="0"/>
              <w:right w:val="single" w:color="auto" w:sz="4" w:space="0"/>
            </w:tcBorders>
            <w:vAlign w:val="center"/>
          </w:tcPr>
          <w:p w14:paraId="520AD297">
            <w:pPr>
              <w:spacing w:line="370" w:lineRule="exact"/>
              <w:jc w:val="center"/>
              <w:rPr>
                <w:rFonts w:ascii="宋体" w:hAnsi="宋体" w:cs="宋体"/>
                <w:szCs w:val="21"/>
              </w:rPr>
            </w:pPr>
            <w:r>
              <w:rPr>
                <w:rFonts w:hint="eastAsia" w:ascii="宋体" w:hAnsi="宋体" w:cs="宋体"/>
                <w:szCs w:val="21"/>
              </w:rPr>
              <w:t>单位</w:t>
            </w:r>
          </w:p>
        </w:tc>
        <w:tc>
          <w:tcPr>
            <w:tcW w:w="3622" w:type="pct"/>
            <w:tcBorders>
              <w:top w:val="single" w:color="auto" w:sz="4" w:space="0"/>
              <w:left w:val="single" w:color="auto" w:sz="4" w:space="0"/>
              <w:bottom w:val="single" w:color="auto" w:sz="4" w:space="0"/>
              <w:right w:val="single" w:color="auto" w:sz="4" w:space="0"/>
            </w:tcBorders>
            <w:vAlign w:val="center"/>
          </w:tcPr>
          <w:p w14:paraId="16BF9229">
            <w:pPr>
              <w:spacing w:line="370" w:lineRule="exact"/>
              <w:jc w:val="center"/>
              <w:rPr>
                <w:rFonts w:ascii="宋体" w:hAnsi="宋体" w:cs="宋体"/>
                <w:szCs w:val="21"/>
              </w:rPr>
            </w:pPr>
            <w:r>
              <w:rPr>
                <w:rFonts w:hint="eastAsia" w:ascii="宋体" w:hAnsi="宋体" w:cs="宋体"/>
                <w:szCs w:val="21"/>
              </w:rPr>
              <w:t>技术参数</w:t>
            </w:r>
          </w:p>
        </w:tc>
      </w:tr>
      <w:tr w14:paraId="4690C9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vAlign w:val="center"/>
          </w:tcPr>
          <w:p w14:paraId="716A4126">
            <w:pPr>
              <w:spacing w:line="370" w:lineRule="exact"/>
              <w:jc w:val="center"/>
              <w:rPr>
                <w:rFonts w:ascii="宋体" w:hAnsi="宋体" w:cs="宋体"/>
                <w:szCs w:val="21"/>
              </w:rPr>
            </w:pPr>
            <w:r>
              <w:rPr>
                <w:rFonts w:hint="eastAsia" w:ascii="宋体" w:hAnsi="宋体" w:cs="宋体"/>
                <w:szCs w:val="21"/>
              </w:rPr>
              <w:t>1</w:t>
            </w:r>
          </w:p>
        </w:tc>
        <w:tc>
          <w:tcPr>
            <w:tcW w:w="519" w:type="pct"/>
            <w:tcBorders>
              <w:top w:val="single" w:color="auto" w:sz="4" w:space="0"/>
              <w:left w:val="single" w:color="auto" w:sz="4" w:space="0"/>
              <w:bottom w:val="single" w:color="auto" w:sz="4" w:space="0"/>
              <w:right w:val="single" w:color="auto" w:sz="4" w:space="0"/>
            </w:tcBorders>
            <w:vAlign w:val="center"/>
          </w:tcPr>
          <w:p w14:paraId="6CF70795">
            <w:pPr>
              <w:tabs>
                <w:tab w:val="left" w:pos="180"/>
                <w:tab w:val="left" w:pos="1620"/>
              </w:tabs>
              <w:spacing w:line="370" w:lineRule="exact"/>
              <w:jc w:val="center"/>
              <w:rPr>
                <w:rFonts w:ascii="宋体" w:hAnsi="宋体" w:cs="宋体"/>
                <w:szCs w:val="21"/>
              </w:rPr>
            </w:pPr>
            <w:r>
              <w:rPr>
                <w:rFonts w:hint="eastAsia" w:ascii="宋体" w:hAnsi="宋体" w:cs="宋体"/>
                <w:szCs w:val="21"/>
              </w:rPr>
              <w:t>医用血管造影X射线机（DSA）</w:t>
            </w:r>
          </w:p>
        </w:tc>
        <w:tc>
          <w:tcPr>
            <w:tcW w:w="295" w:type="pct"/>
            <w:tcBorders>
              <w:top w:val="single" w:color="auto" w:sz="4" w:space="0"/>
              <w:left w:val="single" w:color="auto" w:sz="4" w:space="0"/>
              <w:bottom w:val="single" w:color="auto" w:sz="4" w:space="0"/>
              <w:right w:val="single" w:color="auto" w:sz="4" w:space="0"/>
            </w:tcBorders>
            <w:vAlign w:val="center"/>
          </w:tcPr>
          <w:p w14:paraId="209BE466">
            <w:pPr>
              <w:spacing w:line="370" w:lineRule="exact"/>
              <w:jc w:val="center"/>
              <w:rPr>
                <w:rFonts w:ascii="宋体" w:hAnsi="宋体" w:cs="宋体"/>
                <w:szCs w:val="21"/>
              </w:rPr>
            </w:pPr>
            <w:r>
              <w:rPr>
                <w:rFonts w:hint="eastAsia" w:ascii="宋体" w:hAnsi="宋体" w:cs="宋体"/>
                <w:szCs w:val="21"/>
              </w:rPr>
              <w:t>1</w:t>
            </w:r>
          </w:p>
        </w:tc>
        <w:tc>
          <w:tcPr>
            <w:tcW w:w="321" w:type="pct"/>
            <w:tcBorders>
              <w:top w:val="single" w:color="auto" w:sz="4" w:space="0"/>
              <w:left w:val="single" w:color="auto" w:sz="4" w:space="0"/>
              <w:bottom w:val="single" w:color="auto" w:sz="4" w:space="0"/>
              <w:right w:val="single" w:color="auto" w:sz="4" w:space="0"/>
            </w:tcBorders>
            <w:vAlign w:val="center"/>
          </w:tcPr>
          <w:p w14:paraId="44F270F0">
            <w:pPr>
              <w:spacing w:line="370" w:lineRule="exact"/>
              <w:rPr>
                <w:rFonts w:hint="eastAsia" w:ascii="宋体" w:hAnsi="宋体" w:eastAsia="宋体" w:cs="宋体"/>
                <w:szCs w:val="21"/>
                <w:lang w:eastAsia="zh-CN"/>
              </w:rPr>
            </w:pPr>
            <w:r>
              <w:rPr>
                <w:rFonts w:hint="eastAsia" w:ascii="宋体" w:hAnsi="宋体" w:cs="宋体"/>
                <w:szCs w:val="21"/>
                <w:lang w:eastAsia="zh-CN"/>
              </w:rPr>
              <w:t>年</w:t>
            </w:r>
          </w:p>
        </w:tc>
        <w:tc>
          <w:tcPr>
            <w:tcW w:w="3622" w:type="pct"/>
            <w:tcBorders>
              <w:top w:val="single" w:color="auto" w:sz="4" w:space="0"/>
              <w:left w:val="single" w:color="auto" w:sz="4" w:space="0"/>
              <w:bottom w:val="single" w:color="auto" w:sz="4" w:space="0"/>
              <w:right w:val="single" w:color="auto" w:sz="4" w:space="0"/>
            </w:tcBorders>
          </w:tcPr>
          <w:p w14:paraId="74E1A52D">
            <w:pPr>
              <w:rPr>
                <w:rFonts w:hint="eastAsia" w:hAnsi="宋体"/>
                <w:szCs w:val="21"/>
              </w:rPr>
            </w:pPr>
            <w:r>
              <w:rPr>
                <w:rFonts w:hint="eastAsia" w:hAnsi="宋体"/>
                <w:szCs w:val="21"/>
              </w:rPr>
              <w:t xml:space="preserve">设备名称：西门子 型号：Artisone一台                </w:t>
            </w:r>
          </w:p>
          <w:p w14:paraId="604C63F9">
            <w:pPr>
              <w:rPr>
                <w:rFonts w:hint="eastAsia" w:hAnsi="宋体"/>
                <w:szCs w:val="21"/>
              </w:rPr>
            </w:pPr>
            <w:r>
              <w:rPr>
                <w:rFonts w:hint="eastAsia" w:hAnsi="宋体"/>
                <w:szCs w:val="21"/>
              </w:rPr>
              <w:t xml:space="preserve"> ▲一、Artisone维保服务技术要求：</w:t>
            </w:r>
          </w:p>
          <w:p w14:paraId="18C3C4F7">
            <w:pPr>
              <w:rPr>
                <w:rFonts w:hint="eastAsia" w:hAnsi="宋体"/>
                <w:szCs w:val="21"/>
              </w:rPr>
            </w:pPr>
            <w:r>
              <w:rPr>
                <w:rFonts w:hint="eastAsia" w:hAnsi="宋体"/>
                <w:szCs w:val="21"/>
              </w:rPr>
              <w:t xml:space="preserve">一年维保对医院DSA进行维护、检修、保养等服务。维保内容：保修期内包含整机所有故障配件，包含控制室内设备（①系统控制台、②成像系统箱），检查室内设备（①带有C臂、FD的落地机架、②检查床、③显示器悬吊系统（附加LC显示器）④用于射线触发的脚闸、⑤用于控制机架、检查床以及成像系统的控制台、⑥手开关）等备件更换费用和人工服务费用，享受优先派工。不包含第三方附属产品（如高压注射器、稳压电源、UPS、激光相机、外配打印机、录像机、视频外设等），更换的旧件由中标方回收。              </w:t>
            </w:r>
          </w:p>
          <w:p w14:paraId="248C1518">
            <w:pPr>
              <w:rPr>
                <w:rFonts w:hint="eastAsia" w:hAnsi="宋体"/>
                <w:szCs w:val="21"/>
              </w:rPr>
            </w:pPr>
            <w:r>
              <w:rPr>
                <w:rFonts w:hint="eastAsia" w:hAnsi="宋体"/>
                <w:szCs w:val="21"/>
              </w:rPr>
              <w:t>（1）对设备进行预防性保养及常规升级：</w:t>
            </w:r>
          </w:p>
          <w:p w14:paraId="1EA8E1CB">
            <w:pPr>
              <w:rPr>
                <w:rFonts w:hint="eastAsia" w:hAnsi="宋体"/>
                <w:szCs w:val="21"/>
              </w:rPr>
            </w:pPr>
            <w:r>
              <w:rPr>
                <w:rFonts w:hint="eastAsia" w:hAnsi="宋体"/>
                <w:szCs w:val="21"/>
              </w:rPr>
              <w:t>①制定详细计划，根据厂家要求，提供每台设备一年4次预防性保养，按厂家标准执行，包含保养所需耗材，每次保养工作后出示机器的保养报告和机器评估报告。</w:t>
            </w:r>
          </w:p>
          <w:p w14:paraId="3BA4BB16">
            <w:pPr>
              <w:rPr>
                <w:rFonts w:hint="eastAsia" w:hAnsi="宋体"/>
                <w:szCs w:val="21"/>
              </w:rPr>
            </w:pPr>
            <w:r>
              <w:rPr>
                <w:rFonts w:hint="eastAsia" w:hAnsi="宋体"/>
                <w:szCs w:val="21"/>
              </w:rPr>
              <w:t>②安全升级：按照建议及要求提供硬件和软件升级，以提高设备的安全性和性能。</w:t>
            </w:r>
          </w:p>
          <w:p w14:paraId="18FD96D9">
            <w:pPr>
              <w:rPr>
                <w:rFonts w:hint="eastAsia" w:hAnsi="宋体"/>
                <w:szCs w:val="21"/>
              </w:rPr>
            </w:pPr>
            <w:r>
              <w:rPr>
                <w:rFonts w:hint="eastAsia" w:hAnsi="宋体"/>
                <w:szCs w:val="21"/>
              </w:rPr>
              <w:t>（2）对设备进行安全检查：提供每台设备一年4次安全检查，包含机械安全、电气安全检查，每次安全检查工作后出示安全检查报告。</w:t>
            </w:r>
          </w:p>
          <w:p w14:paraId="3EB3BB52">
            <w:pPr>
              <w:rPr>
                <w:rFonts w:hint="eastAsia" w:hAnsi="宋体"/>
                <w:szCs w:val="21"/>
              </w:rPr>
            </w:pPr>
            <w:r>
              <w:rPr>
                <w:rFonts w:hint="eastAsia" w:hAnsi="宋体"/>
                <w:szCs w:val="21"/>
              </w:rPr>
              <w:t>（3）工时：合同期内，免收因维修机器产生的工时费、节假日加班费，派工次数不限，享受优先派工。</w:t>
            </w:r>
          </w:p>
          <w:p w14:paraId="300EFF3B">
            <w:pPr>
              <w:rPr>
                <w:rFonts w:hint="eastAsia" w:hAnsi="宋体"/>
                <w:szCs w:val="21"/>
              </w:rPr>
            </w:pPr>
            <w:r>
              <w:rPr>
                <w:rFonts w:hint="eastAsia" w:hAnsi="宋体"/>
                <w:szCs w:val="21"/>
              </w:rPr>
              <w:t>（4）技术支持：工程师7X24小时在线技术支持，节假日不休，提供电话服务，提供微信、传真、电子邮件等联络方式，全力配合医院开展工作。</w:t>
            </w:r>
          </w:p>
          <w:p w14:paraId="4E4DC879">
            <w:pPr>
              <w:rPr>
                <w:rFonts w:hint="eastAsia" w:hAnsi="宋体"/>
                <w:szCs w:val="21"/>
              </w:rPr>
            </w:pPr>
            <w:r>
              <w:rPr>
                <w:rFonts w:hint="eastAsia" w:hAnsi="宋体"/>
                <w:szCs w:val="21"/>
              </w:rPr>
              <w:t>（5）现场故障响应时间：接到医院第一次故障报修电话，立即响应，即时提供维修方案或备用方案，工程师12小时内到达现场提供现场解决故障服务。</w:t>
            </w:r>
          </w:p>
          <w:p w14:paraId="7AF320C1">
            <w:pPr>
              <w:rPr>
                <w:rFonts w:hint="eastAsia" w:hAnsi="宋体"/>
                <w:szCs w:val="21"/>
              </w:rPr>
            </w:pPr>
            <w:r>
              <w:rPr>
                <w:rFonts w:hint="eastAsia" w:hAnsi="宋体"/>
                <w:szCs w:val="21"/>
              </w:rPr>
              <w:t>（6）开机率：合同期内，保证机器的开机率≥95%（按一年365天计算，即每年不超过18.5天），每年计算一次（因医院原因造成的停机时间不计算入内）。如果此开机率由于供应商的原因未能达到，对于开机率低于95%的每一个百分点,合同期限将相应延长10天。</w:t>
            </w:r>
          </w:p>
          <w:p w14:paraId="53A49D57">
            <w:pPr>
              <w:rPr>
                <w:rFonts w:hint="eastAsia" w:hAnsi="宋体"/>
                <w:szCs w:val="21"/>
              </w:rPr>
            </w:pPr>
            <w:r>
              <w:rPr>
                <w:rFonts w:hint="eastAsia" w:hAnsi="宋体"/>
                <w:szCs w:val="21"/>
              </w:rPr>
              <w:t>二、Artisone维保服务合约要求：</w:t>
            </w:r>
          </w:p>
          <w:p w14:paraId="356C9AC7">
            <w:pPr>
              <w:rPr>
                <w:rFonts w:hint="eastAsia" w:hAnsi="宋体"/>
                <w:szCs w:val="21"/>
              </w:rPr>
            </w:pPr>
            <w:r>
              <w:rPr>
                <w:rFonts w:hint="eastAsia" w:hAnsi="宋体"/>
                <w:szCs w:val="21"/>
              </w:rPr>
              <w:t>▲（1）备件：合同期内，更换问题备件由医院承担。</w:t>
            </w:r>
          </w:p>
          <w:p w14:paraId="40B33936">
            <w:pPr>
              <w:rPr>
                <w:rFonts w:hint="eastAsia" w:hAnsi="宋体"/>
                <w:szCs w:val="21"/>
              </w:rPr>
            </w:pPr>
            <w:r>
              <w:rPr>
                <w:rFonts w:hint="eastAsia" w:hAnsi="宋体"/>
                <w:szCs w:val="21"/>
              </w:rPr>
              <w:t>▲（2）质量保证：合同期内，保证以上机器的运行质量及图像质量达到厂家标准，按照厂家标准定期进行调校/校正（不在保修范围内的部件造成质量不达标除外）。</w:t>
            </w:r>
          </w:p>
          <w:p w14:paraId="1982C12F">
            <w:pPr>
              <w:rPr>
                <w:rFonts w:hint="eastAsia" w:hAnsi="宋体"/>
                <w:szCs w:val="21"/>
              </w:rPr>
            </w:pPr>
            <w:r>
              <w:rPr>
                <w:rFonts w:hint="eastAsia" w:hAnsi="宋体"/>
                <w:szCs w:val="21"/>
              </w:rPr>
              <w:t>（3）服务报告：维保维修后供应商需按时向医院提交设备维保维修服务工单，由设备管理科室签字确认完成。供应商在完成当年度维保，必须为该维保设备出具年度设备运行评估报告及维修维护保养报告。</w:t>
            </w:r>
          </w:p>
          <w:p w14:paraId="3013E77B">
            <w:pPr>
              <w:rPr>
                <w:rFonts w:hint="eastAsia" w:hAnsi="宋体"/>
                <w:szCs w:val="21"/>
              </w:rPr>
            </w:pPr>
            <w:r>
              <w:rPr>
                <w:rFonts w:hint="eastAsia" w:hAnsi="宋体"/>
                <w:szCs w:val="21"/>
              </w:rPr>
              <w:t>（4）其他：不包含DSA设备附属的第三方产品：如稳压电源、激光相机、高压注射器、胶片打印机、叫号系统、麻醉机、心电监护等。</w:t>
            </w:r>
          </w:p>
          <w:p w14:paraId="56ABE1D6">
            <w:pPr>
              <w:rPr>
                <w:rFonts w:hint="eastAsia" w:hAnsi="宋体"/>
                <w:szCs w:val="21"/>
              </w:rPr>
            </w:pPr>
            <w:r>
              <w:rPr>
                <w:rFonts w:hint="eastAsia" w:hAnsi="宋体"/>
                <w:szCs w:val="21"/>
              </w:rPr>
              <w:t>▲（5）供应商具备专业的服务团队，为本项目配备的“医用放射线设备”或“医学影像设备管理与维护”专业的工程师人数≥3人；维修人员中至少有2名具有西门子原厂培训证书及国家人力资源相关部门颁发的医疗设备维修相关技能证书。（需要提供工程师毕业证书、厂家培训证书、相关专业技能证书复印件及近三个月社保证明）。</w:t>
            </w:r>
          </w:p>
          <w:p w14:paraId="4F58CA09">
            <w:pPr>
              <w:rPr>
                <w:rFonts w:hint="eastAsia" w:hAnsi="宋体"/>
                <w:szCs w:val="21"/>
              </w:rPr>
            </w:pPr>
            <w:r>
              <w:rPr>
                <w:rFonts w:hint="eastAsia" w:hAnsi="宋体"/>
                <w:szCs w:val="21"/>
              </w:rPr>
              <w:t>（6）为了保证配件能快速到达现场，供应商应配备专门的配件存放场地，配件运送应与厂家运输要求一致。</w:t>
            </w:r>
          </w:p>
          <w:p w14:paraId="5918F7C8">
            <w:pPr>
              <w:rPr>
                <w:rFonts w:hint="eastAsia" w:hAnsi="宋体"/>
                <w:szCs w:val="21"/>
              </w:rPr>
            </w:pPr>
            <w:r>
              <w:rPr>
                <w:rFonts w:hint="eastAsia" w:hAnsi="宋体"/>
                <w:szCs w:val="21"/>
              </w:rPr>
              <w:t>（7）为保证设备正常开机率，供应商应具备一套医学影像设备远程控制维护系统，在设备故障发生前进行预警，提前到场进行维护维修，避免故障停机；具有保障设备稳定运行和维护的能力。</w:t>
            </w:r>
          </w:p>
          <w:p w14:paraId="66BE18DE">
            <w:pPr>
              <w:rPr>
                <w:rFonts w:hint="eastAsia" w:hAnsi="宋体"/>
                <w:szCs w:val="21"/>
              </w:rPr>
            </w:pPr>
            <w:r>
              <w:rPr>
                <w:rFonts w:hint="eastAsia" w:hAnsi="宋体"/>
                <w:szCs w:val="21"/>
              </w:rPr>
              <w:t>（8）供应商具有处理辐射安全能力和工程师近一年（2024年1月1日以来）的个人计量检测报告（复印件），能保证项目维修服务符合辐射安全的相关规定。</w:t>
            </w:r>
          </w:p>
          <w:p w14:paraId="38DB273E">
            <w:pPr>
              <w:rPr>
                <w:rFonts w:hint="eastAsia" w:hAnsi="宋体"/>
                <w:szCs w:val="21"/>
              </w:rPr>
            </w:pPr>
            <w:r>
              <w:rPr>
                <w:rFonts w:hint="eastAsia" w:hAnsi="宋体"/>
                <w:szCs w:val="21"/>
              </w:rPr>
              <w:t>（9）供应商有具备根据维保设备的运行情况，提供大型医疗设备效益分析的解决方案能力。</w:t>
            </w:r>
          </w:p>
          <w:p w14:paraId="3B871230">
            <w:pPr>
              <w:rPr>
                <w:rFonts w:hint="eastAsia" w:hAnsi="宋体"/>
                <w:szCs w:val="21"/>
              </w:rPr>
            </w:pPr>
            <w:r>
              <w:rPr>
                <w:rFonts w:hint="eastAsia" w:hAnsi="宋体"/>
                <w:szCs w:val="21"/>
              </w:rPr>
              <w:t>（10）供应商能为采购方提供医技科室设备质量安全管理考核制度及方法。</w:t>
            </w:r>
          </w:p>
          <w:p w14:paraId="2590A7AF">
            <w:pPr>
              <w:rPr>
                <w:rFonts w:hint="eastAsia" w:hAnsi="宋体"/>
                <w:szCs w:val="21"/>
              </w:rPr>
            </w:pPr>
            <w:r>
              <w:rPr>
                <w:rFonts w:hint="eastAsia" w:hAnsi="宋体"/>
                <w:szCs w:val="21"/>
              </w:rPr>
              <w:t xml:space="preserve"> (11)供应商具备医疗设备云管理能力：具备医疗设备管理系统、维修报修系统、配件管理系统、故障检测运维系统、设备维护远程诊断系统等云管理设备相应软件著作权登记证书。</w:t>
            </w:r>
          </w:p>
          <w:p w14:paraId="28DBD3DC">
            <w:pPr>
              <w:rPr>
                <w:rFonts w:hAnsi="宋体"/>
                <w:szCs w:val="21"/>
              </w:rPr>
            </w:pPr>
            <w:r>
              <w:rPr>
                <w:rFonts w:hint="eastAsia" w:hAnsi="宋体"/>
                <w:szCs w:val="21"/>
              </w:rPr>
              <w:t>▲（12）供应商应为采购人提供培训设备维修维护人员：合同期内提供线下相应的设备维修维护培训，培训讲师须具备行业主管部门认可的资质，按采购人要求培训相关技术人员1-3人不等。</w:t>
            </w:r>
          </w:p>
        </w:tc>
      </w:tr>
      <w:tr w14:paraId="74AE40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vAlign w:val="center"/>
          </w:tcPr>
          <w:p w14:paraId="05988326">
            <w:pPr>
              <w:spacing w:line="370" w:lineRule="exact"/>
              <w:jc w:val="center"/>
              <w:rPr>
                <w:rFonts w:ascii="宋体" w:hAnsi="宋体" w:cs="宋体"/>
                <w:szCs w:val="21"/>
              </w:rPr>
            </w:pPr>
            <w:r>
              <w:rPr>
                <w:rFonts w:hint="eastAsia" w:ascii="宋体" w:hAnsi="宋体" w:cs="宋体"/>
                <w:szCs w:val="21"/>
              </w:rPr>
              <w:t>2</w:t>
            </w:r>
          </w:p>
        </w:tc>
        <w:tc>
          <w:tcPr>
            <w:tcW w:w="519" w:type="pct"/>
            <w:tcBorders>
              <w:top w:val="single" w:color="auto" w:sz="4" w:space="0"/>
              <w:left w:val="single" w:color="auto" w:sz="4" w:space="0"/>
              <w:bottom w:val="single" w:color="auto" w:sz="4" w:space="0"/>
              <w:right w:val="single" w:color="auto" w:sz="4" w:space="0"/>
            </w:tcBorders>
            <w:vAlign w:val="center"/>
          </w:tcPr>
          <w:p w14:paraId="2F534FD3">
            <w:pPr>
              <w:tabs>
                <w:tab w:val="left" w:pos="180"/>
                <w:tab w:val="left" w:pos="1620"/>
              </w:tabs>
              <w:spacing w:line="370" w:lineRule="exact"/>
              <w:jc w:val="center"/>
              <w:rPr>
                <w:rFonts w:ascii="宋体" w:hAnsi="宋体" w:cs="宋体"/>
                <w:szCs w:val="21"/>
              </w:rPr>
            </w:pPr>
            <w:r>
              <w:rPr>
                <w:rFonts w:hint="eastAsia" w:ascii="宋体" w:hAnsi="宋体" w:cs="宋体"/>
                <w:szCs w:val="21"/>
              </w:rPr>
              <w:t>X射线计算机体层摄影设备（64排螺旋CT）</w:t>
            </w:r>
          </w:p>
        </w:tc>
        <w:tc>
          <w:tcPr>
            <w:tcW w:w="295" w:type="pct"/>
            <w:tcBorders>
              <w:top w:val="single" w:color="auto" w:sz="4" w:space="0"/>
              <w:left w:val="single" w:color="auto" w:sz="4" w:space="0"/>
              <w:bottom w:val="single" w:color="auto" w:sz="4" w:space="0"/>
              <w:right w:val="single" w:color="auto" w:sz="4" w:space="0"/>
            </w:tcBorders>
            <w:vAlign w:val="center"/>
          </w:tcPr>
          <w:p w14:paraId="3C112370">
            <w:pPr>
              <w:spacing w:line="370" w:lineRule="exact"/>
              <w:jc w:val="center"/>
              <w:rPr>
                <w:rFonts w:ascii="宋体" w:hAnsi="宋体" w:cs="宋体"/>
                <w:szCs w:val="21"/>
              </w:rPr>
            </w:pPr>
            <w:r>
              <w:rPr>
                <w:rFonts w:hint="eastAsia" w:ascii="宋体" w:hAnsi="宋体" w:cs="宋体"/>
                <w:szCs w:val="21"/>
              </w:rPr>
              <w:t>1</w:t>
            </w:r>
          </w:p>
        </w:tc>
        <w:tc>
          <w:tcPr>
            <w:tcW w:w="321" w:type="pct"/>
            <w:tcBorders>
              <w:top w:val="single" w:color="auto" w:sz="4" w:space="0"/>
              <w:left w:val="single" w:color="auto" w:sz="4" w:space="0"/>
              <w:bottom w:val="single" w:color="auto" w:sz="4" w:space="0"/>
              <w:right w:val="single" w:color="auto" w:sz="4" w:space="0"/>
            </w:tcBorders>
            <w:vAlign w:val="center"/>
          </w:tcPr>
          <w:p w14:paraId="14949C7D">
            <w:pPr>
              <w:spacing w:line="370" w:lineRule="exact"/>
              <w:rPr>
                <w:rFonts w:hint="eastAsia" w:ascii="宋体" w:hAnsi="宋体" w:eastAsia="宋体" w:cs="宋体"/>
                <w:szCs w:val="21"/>
                <w:lang w:eastAsia="zh-CN"/>
              </w:rPr>
            </w:pPr>
            <w:r>
              <w:rPr>
                <w:rFonts w:hint="eastAsia" w:ascii="宋体" w:hAnsi="宋体" w:cs="宋体"/>
                <w:szCs w:val="21"/>
                <w:lang w:eastAsia="zh-CN"/>
              </w:rPr>
              <w:t>年</w:t>
            </w:r>
          </w:p>
        </w:tc>
        <w:tc>
          <w:tcPr>
            <w:tcW w:w="3622" w:type="pct"/>
            <w:tcBorders>
              <w:top w:val="single" w:color="auto" w:sz="4" w:space="0"/>
              <w:left w:val="single" w:color="auto" w:sz="4" w:space="0"/>
              <w:bottom w:val="single" w:color="auto" w:sz="4" w:space="0"/>
              <w:right w:val="single" w:color="auto" w:sz="4" w:space="0"/>
            </w:tcBorders>
          </w:tcPr>
          <w:p w14:paraId="7C8BEE79">
            <w:pPr>
              <w:rPr>
                <w:rFonts w:hint="eastAsia"/>
                <w:lang w:val="en-US" w:eastAsia="zh-CN"/>
              </w:rPr>
            </w:pPr>
            <w:r>
              <w:rPr>
                <w:rFonts w:hint="eastAsia"/>
                <w:lang w:val="en-US" w:eastAsia="zh-CN"/>
              </w:rPr>
              <w:t>..................................................................</w:t>
            </w:r>
          </w:p>
          <w:p w14:paraId="697DE3E9">
            <w:pPr>
              <w:rPr>
                <w:rFonts w:hint="default"/>
                <w:lang w:val="en-US" w:eastAsia="zh-CN"/>
              </w:rPr>
            </w:pPr>
            <w:r>
              <w:rPr>
                <w:rFonts w:hint="eastAsia"/>
                <w:lang w:val="en-US" w:eastAsia="zh-CN"/>
              </w:rPr>
              <w:t>..................................................................</w:t>
            </w:r>
          </w:p>
        </w:tc>
      </w:tr>
    </w:tbl>
    <w:p w14:paraId="0EC4CF6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E78CE"/>
    <w:rsid w:val="00067E36"/>
    <w:rsid w:val="0065307C"/>
    <w:rsid w:val="006B5724"/>
    <w:rsid w:val="00782812"/>
    <w:rsid w:val="009E78CE"/>
    <w:rsid w:val="00B20E1E"/>
    <w:rsid w:val="00B24169"/>
    <w:rsid w:val="00D40240"/>
    <w:rsid w:val="00DE205B"/>
    <w:rsid w:val="06BF1FD4"/>
    <w:rsid w:val="1EDF48E5"/>
    <w:rsid w:val="2B9B22FF"/>
    <w:rsid w:val="2D3E73E6"/>
    <w:rsid w:val="38DD1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1668</Words>
  <Characters>1861</Characters>
  <Lines>12</Lines>
  <Paragraphs>3</Paragraphs>
  <TotalTime>5</TotalTime>
  <ScaleCrop>false</ScaleCrop>
  <LinksUpToDate>false</LinksUpToDate>
  <CharactersWithSpaces>1894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2025-01-03T03:28:00Z</dcterms:created>
  <dc:creator>Windows 用户</dc:creator>
  <cp:lastModifiedBy>龙哥</cp:lastModifiedBy>
  <dcterms:modified xsi:type="dcterms:W3CDTF">2026-09-29T06:40:05Z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eyJoZGlkIjoiNGJjOTY2MGIyMGVhMzIxZjY3NzFjYjViMmRkOTdkOTgiLCJ1c2VySWQiOiIzMzYyMTExNjEifQ==</vt:lpwstr>
  </property>
  <property fmtid="{D5CDD505-2E9C-101B-9397-08002B2CF9AE}" pid="3" name="KSOProductBuildVer">
    <vt:lpwstr>2052-12.1.0.28505</vt:lpwstr>
  </property>
  <property fmtid="{D5CDD505-2E9C-101B-9397-08002B2CF9AE}" pid="4" name="ICV">
    <vt:lpwstr>B5C6C64B7FCC466BAD5DEBBF1207A749_12</vt:lpwstr>
  </property>
</Properties>
</file>