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59CC">
      <w:pPr>
        <w:jc w:val="both"/>
        <w:rPr>
          <w:rFonts w:hint="eastAsia" w:ascii="黑体" w:hAnsi="黑体" w:eastAsia="黑体" w:cs="黑体"/>
          <w:b/>
          <w:bCs/>
          <w:color w:val="auto"/>
          <w:sz w:val="32"/>
          <w:szCs w:val="32"/>
          <w:lang w:val="en-US" w:eastAsia="zh-CN"/>
        </w:rPr>
      </w:pPr>
      <w:bookmarkStart w:id="2" w:name="_GoBack"/>
      <w:bookmarkEnd w:id="2"/>
      <w:bookmarkStart w:id="0" w:name="_Toc254970697"/>
      <w:bookmarkStart w:id="1" w:name="_Toc254970556"/>
      <w:r>
        <w:rPr>
          <w:rFonts w:hint="eastAsia" w:ascii="黑体" w:hAnsi="黑体" w:eastAsia="黑体" w:cs="黑体"/>
          <w:b/>
          <w:bCs/>
          <w:color w:val="auto"/>
          <w:sz w:val="32"/>
          <w:szCs w:val="32"/>
          <w:lang w:val="en-US" w:eastAsia="zh-CN"/>
        </w:rPr>
        <w:t>附件2：</w:t>
      </w:r>
    </w:p>
    <w:p w14:paraId="31BB8581">
      <w:p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报名材料内容</w:t>
      </w:r>
    </w:p>
    <w:tbl>
      <w:tblPr>
        <w:tblStyle w:val="7"/>
        <w:tblpPr w:leftFromText="180" w:rightFromText="180" w:vertAnchor="text" w:horzAnchor="page" w:tblpX="1304" w:tblpY="127"/>
        <w:tblOverlap w:val="never"/>
        <w:tblW w:w="9342" w:type="dxa"/>
        <w:tblInd w:w="0" w:type="dxa"/>
        <w:tblLayout w:type="autofit"/>
        <w:tblCellMar>
          <w:top w:w="0" w:type="dxa"/>
          <w:left w:w="108" w:type="dxa"/>
          <w:bottom w:w="0" w:type="dxa"/>
          <w:right w:w="108" w:type="dxa"/>
        </w:tblCellMar>
      </w:tblPr>
      <w:tblGrid>
        <w:gridCol w:w="491"/>
        <w:gridCol w:w="7651"/>
        <w:gridCol w:w="1200"/>
      </w:tblGrid>
      <w:tr w14:paraId="0D4CEF9A">
        <w:tblPrEx>
          <w:tblCellMar>
            <w:top w:w="0" w:type="dxa"/>
            <w:left w:w="108" w:type="dxa"/>
            <w:bottom w:w="0" w:type="dxa"/>
            <w:right w:w="108" w:type="dxa"/>
          </w:tblCellMar>
        </w:tblPrEx>
        <w:trPr>
          <w:trHeight w:val="38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BF0AA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b/>
                <w:bCs/>
                <w:kern w:val="0"/>
                <w:sz w:val="22"/>
                <w:szCs w:val="22"/>
              </w:rPr>
            </w:pPr>
            <w:r>
              <w:rPr>
                <w:rFonts w:hint="eastAsia" w:ascii="仿宋" w:hAnsi="仿宋" w:eastAsia="仿宋" w:cs="仿宋"/>
                <w:b/>
                <w:bCs/>
                <w:kern w:val="0"/>
                <w:sz w:val="24"/>
                <w:szCs w:val="24"/>
              </w:rPr>
              <w:t>序号</w:t>
            </w:r>
          </w:p>
        </w:tc>
        <w:tc>
          <w:tcPr>
            <w:tcW w:w="7651" w:type="dxa"/>
            <w:tcBorders>
              <w:top w:val="single" w:color="auto" w:sz="4" w:space="0"/>
              <w:left w:val="nil"/>
              <w:bottom w:val="single" w:color="auto" w:sz="4" w:space="0"/>
              <w:right w:val="single" w:color="auto" w:sz="4" w:space="0"/>
            </w:tcBorders>
            <w:noWrap w:val="0"/>
            <w:vAlign w:val="center"/>
          </w:tcPr>
          <w:p w14:paraId="03BFE1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b/>
                <w:bCs/>
                <w:kern w:val="0"/>
                <w:sz w:val="22"/>
                <w:szCs w:val="22"/>
              </w:rPr>
            </w:pPr>
            <w:r>
              <w:rPr>
                <w:rFonts w:hint="eastAsia" w:ascii="仿宋" w:hAnsi="仿宋" w:eastAsia="仿宋" w:cs="仿宋"/>
                <w:b/>
                <w:bCs/>
                <w:kern w:val="0"/>
                <w:sz w:val="24"/>
                <w:szCs w:val="24"/>
              </w:rPr>
              <w:t>文件名称</w:t>
            </w:r>
          </w:p>
        </w:tc>
        <w:tc>
          <w:tcPr>
            <w:tcW w:w="1200" w:type="dxa"/>
            <w:tcBorders>
              <w:top w:val="single" w:color="auto" w:sz="4" w:space="0"/>
              <w:left w:val="nil"/>
              <w:bottom w:val="single" w:color="auto" w:sz="4" w:space="0"/>
              <w:right w:val="single" w:color="auto" w:sz="4" w:space="0"/>
            </w:tcBorders>
            <w:noWrap w:val="0"/>
            <w:vAlign w:val="center"/>
          </w:tcPr>
          <w:p w14:paraId="1A0A79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仿宋"/>
                <w:b/>
                <w:bCs/>
                <w:kern w:val="0"/>
                <w:sz w:val="22"/>
                <w:szCs w:val="22"/>
              </w:rPr>
            </w:pPr>
            <w:r>
              <w:rPr>
                <w:rFonts w:hint="eastAsia" w:ascii="仿宋" w:hAnsi="仿宋" w:eastAsia="仿宋" w:cs="仿宋"/>
                <w:b/>
                <w:bCs/>
                <w:kern w:val="0"/>
                <w:sz w:val="24"/>
                <w:szCs w:val="24"/>
              </w:rPr>
              <w:t>备注</w:t>
            </w:r>
          </w:p>
        </w:tc>
      </w:tr>
      <w:tr w14:paraId="135251ED">
        <w:tblPrEx>
          <w:tblCellMar>
            <w:top w:w="0" w:type="dxa"/>
            <w:left w:w="108" w:type="dxa"/>
            <w:bottom w:w="0" w:type="dxa"/>
            <w:right w:w="108" w:type="dxa"/>
          </w:tblCellMar>
        </w:tblPrEx>
        <w:trPr>
          <w:trHeight w:val="392" w:hRule="atLeast"/>
        </w:trPr>
        <w:tc>
          <w:tcPr>
            <w:tcW w:w="0" w:type="auto"/>
            <w:tcBorders>
              <w:top w:val="nil"/>
              <w:left w:val="single" w:color="auto" w:sz="4" w:space="0"/>
              <w:bottom w:val="single" w:color="auto" w:sz="4" w:space="0"/>
              <w:right w:val="single" w:color="auto" w:sz="4" w:space="0"/>
            </w:tcBorders>
            <w:noWrap w:val="0"/>
            <w:vAlign w:val="center"/>
          </w:tcPr>
          <w:p w14:paraId="27331D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w:t>
            </w:r>
          </w:p>
        </w:tc>
        <w:tc>
          <w:tcPr>
            <w:tcW w:w="7651" w:type="dxa"/>
            <w:tcBorders>
              <w:top w:val="nil"/>
              <w:left w:val="nil"/>
              <w:bottom w:val="single" w:color="auto" w:sz="4" w:space="0"/>
              <w:right w:val="single" w:color="auto" w:sz="4" w:space="0"/>
            </w:tcBorders>
            <w:noWrap w:val="0"/>
            <w:vAlign w:val="center"/>
          </w:tcPr>
          <w:p w14:paraId="58E2A6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企业营业执照复印件（三证合一）</w:t>
            </w:r>
          </w:p>
        </w:tc>
        <w:tc>
          <w:tcPr>
            <w:tcW w:w="1200" w:type="dxa"/>
            <w:tcBorders>
              <w:top w:val="nil"/>
              <w:left w:val="nil"/>
              <w:bottom w:val="single" w:color="auto" w:sz="4" w:space="0"/>
              <w:right w:val="single" w:color="auto" w:sz="4" w:space="0"/>
            </w:tcBorders>
            <w:noWrap w:val="0"/>
            <w:vAlign w:val="center"/>
          </w:tcPr>
          <w:p w14:paraId="13651D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必备</w:t>
            </w:r>
          </w:p>
        </w:tc>
      </w:tr>
      <w:tr w14:paraId="73A6ADC4">
        <w:tblPrEx>
          <w:tblCellMar>
            <w:top w:w="0" w:type="dxa"/>
            <w:left w:w="108" w:type="dxa"/>
            <w:bottom w:w="0" w:type="dxa"/>
            <w:right w:w="108" w:type="dxa"/>
          </w:tblCellMar>
        </w:tblPrEx>
        <w:trPr>
          <w:trHeight w:val="392" w:hRule="atLeast"/>
        </w:trPr>
        <w:tc>
          <w:tcPr>
            <w:tcW w:w="0" w:type="auto"/>
            <w:tcBorders>
              <w:top w:val="nil"/>
              <w:left w:val="single" w:color="auto" w:sz="4" w:space="0"/>
              <w:bottom w:val="single" w:color="auto" w:sz="4" w:space="0"/>
              <w:right w:val="single" w:color="auto" w:sz="4" w:space="0"/>
            </w:tcBorders>
            <w:noWrap w:val="0"/>
            <w:vAlign w:val="center"/>
          </w:tcPr>
          <w:p w14:paraId="6EAB90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w:t>
            </w:r>
          </w:p>
        </w:tc>
        <w:tc>
          <w:tcPr>
            <w:tcW w:w="7651" w:type="dxa"/>
            <w:tcBorders>
              <w:top w:val="nil"/>
              <w:left w:val="nil"/>
              <w:bottom w:val="single" w:color="auto" w:sz="4" w:space="0"/>
              <w:right w:val="single" w:color="auto" w:sz="4" w:space="0"/>
            </w:tcBorders>
            <w:noWrap w:val="0"/>
            <w:vAlign w:val="center"/>
          </w:tcPr>
          <w:p w14:paraId="75BA9D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企业</w:t>
            </w:r>
            <w:r>
              <w:rPr>
                <w:rFonts w:hint="eastAsia" w:ascii="宋体" w:hAnsi="宋体" w:eastAsia="宋体" w:cs="宋体"/>
                <w:kern w:val="0"/>
                <w:sz w:val="24"/>
                <w:szCs w:val="24"/>
              </w:rPr>
              <w:t>法人身份证复印件</w:t>
            </w:r>
          </w:p>
        </w:tc>
        <w:tc>
          <w:tcPr>
            <w:tcW w:w="1200" w:type="dxa"/>
            <w:tcBorders>
              <w:top w:val="nil"/>
              <w:left w:val="nil"/>
              <w:bottom w:val="single" w:color="auto" w:sz="4" w:space="0"/>
              <w:right w:val="single" w:color="auto" w:sz="4" w:space="0"/>
            </w:tcBorders>
            <w:noWrap w:val="0"/>
            <w:vAlign w:val="center"/>
          </w:tcPr>
          <w:p w14:paraId="0A1F69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委托代理人必备</w:t>
            </w:r>
          </w:p>
        </w:tc>
      </w:tr>
      <w:tr w14:paraId="6BC7DAE1">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noWrap w:val="0"/>
            <w:vAlign w:val="center"/>
          </w:tcPr>
          <w:p w14:paraId="52C84A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3</w:t>
            </w:r>
          </w:p>
        </w:tc>
        <w:tc>
          <w:tcPr>
            <w:tcW w:w="7651" w:type="dxa"/>
            <w:tcBorders>
              <w:top w:val="nil"/>
              <w:left w:val="nil"/>
              <w:bottom w:val="single" w:color="auto" w:sz="4" w:space="0"/>
              <w:right w:val="single" w:color="auto" w:sz="4" w:space="0"/>
            </w:tcBorders>
            <w:noWrap w:val="0"/>
            <w:vAlign w:val="center"/>
          </w:tcPr>
          <w:p w14:paraId="6F08C9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企业</w:t>
            </w:r>
            <w:r>
              <w:rPr>
                <w:rFonts w:hint="eastAsia" w:ascii="宋体" w:hAnsi="宋体" w:eastAsia="宋体" w:cs="宋体"/>
                <w:kern w:val="0"/>
                <w:sz w:val="24"/>
                <w:szCs w:val="24"/>
              </w:rPr>
              <w:t>法人授权委托书原件</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被</w:t>
            </w:r>
            <w:r>
              <w:rPr>
                <w:rFonts w:hint="eastAsia" w:ascii="宋体" w:hAnsi="宋体" w:eastAsia="宋体" w:cs="宋体"/>
                <w:kern w:val="0"/>
                <w:sz w:val="24"/>
                <w:szCs w:val="24"/>
              </w:rPr>
              <w:t>授权委托人身份证复印件</w:t>
            </w:r>
          </w:p>
        </w:tc>
        <w:tc>
          <w:tcPr>
            <w:tcW w:w="1200" w:type="dxa"/>
            <w:tcBorders>
              <w:top w:val="nil"/>
              <w:left w:val="nil"/>
              <w:bottom w:val="single" w:color="auto" w:sz="4" w:space="0"/>
              <w:right w:val="single" w:color="auto" w:sz="4" w:space="0"/>
            </w:tcBorders>
            <w:noWrap w:val="0"/>
            <w:vAlign w:val="center"/>
          </w:tcPr>
          <w:p w14:paraId="129140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委托代理人必备</w:t>
            </w:r>
          </w:p>
        </w:tc>
      </w:tr>
      <w:tr w14:paraId="6AF41B78">
        <w:tblPrEx>
          <w:tblCellMar>
            <w:top w:w="0" w:type="dxa"/>
            <w:left w:w="108" w:type="dxa"/>
            <w:bottom w:w="0" w:type="dxa"/>
            <w:right w:w="108" w:type="dxa"/>
          </w:tblCellMar>
        </w:tblPrEx>
        <w:trPr>
          <w:trHeight w:val="376" w:hRule="atLeast"/>
        </w:trPr>
        <w:tc>
          <w:tcPr>
            <w:tcW w:w="0" w:type="auto"/>
            <w:tcBorders>
              <w:top w:val="nil"/>
              <w:left w:val="single" w:color="auto" w:sz="4" w:space="0"/>
              <w:bottom w:val="single" w:color="auto" w:sz="4" w:space="0"/>
              <w:right w:val="single" w:color="auto" w:sz="4" w:space="0"/>
            </w:tcBorders>
            <w:noWrap w:val="0"/>
            <w:vAlign w:val="center"/>
          </w:tcPr>
          <w:p w14:paraId="6BCA3D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4</w:t>
            </w:r>
          </w:p>
        </w:tc>
        <w:tc>
          <w:tcPr>
            <w:tcW w:w="7651" w:type="dxa"/>
            <w:tcBorders>
              <w:top w:val="nil"/>
              <w:left w:val="nil"/>
              <w:bottom w:val="single" w:color="auto" w:sz="4" w:space="0"/>
              <w:right w:val="single" w:color="auto" w:sz="4" w:space="0"/>
            </w:tcBorders>
            <w:noWrap w:val="0"/>
            <w:vAlign w:val="center"/>
          </w:tcPr>
          <w:p w14:paraId="300641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bidi="ar-SA"/>
              </w:rPr>
              <w:t>药品生产许可证</w:t>
            </w:r>
          </w:p>
        </w:tc>
        <w:tc>
          <w:tcPr>
            <w:tcW w:w="1200" w:type="dxa"/>
            <w:tcBorders>
              <w:top w:val="nil"/>
              <w:left w:val="nil"/>
              <w:bottom w:val="single" w:color="auto" w:sz="4" w:space="0"/>
              <w:right w:val="single" w:color="auto" w:sz="4" w:space="0"/>
            </w:tcBorders>
            <w:noWrap w:val="0"/>
            <w:vAlign w:val="center"/>
          </w:tcPr>
          <w:p w14:paraId="74BF5B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必备</w:t>
            </w:r>
          </w:p>
        </w:tc>
      </w:tr>
      <w:tr w14:paraId="67EF0A62">
        <w:tblPrEx>
          <w:tblCellMar>
            <w:top w:w="0" w:type="dxa"/>
            <w:left w:w="108" w:type="dxa"/>
            <w:bottom w:w="0" w:type="dxa"/>
            <w:right w:w="108" w:type="dxa"/>
          </w:tblCellMar>
        </w:tblPrEx>
        <w:trPr>
          <w:trHeight w:val="388" w:hRule="atLeast"/>
        </w:trPr>
        <w:tc>
          <w:tcPr>
            <w:tcW w:w="0" w:type="auto"/>
            <w:tcBorders>
              <w:top w:val="nil"/>
              <w:left w:val="single" w:color="auto" w:sz="4" w:space="0"/>
              <w:bottom w:val="single" w:color="auto" w:sz="4" w:space="0"/>
              <w:right w:val="single" w:color="auto" w:sz="4" w:space="0"/>
            </w:tcBorders>
            <w:noWrap w:val="0"/>
            <w:vAlign w:val="center"/>
          </w:tcPr>
          <w:p w14:paraId="00DED1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5</w:t>
            </w:r>
          </w:p>
        </w:tc>
        <w:tc>
          <w:tcPr>
            <w:tcW w:w="7651" w:type="dxa"/>
            <w:tcBorders>
              <w:top w:val="nil"/>
              <w:left w:val="nil"/>
              <w:bottom w:val="single" w:color="auto" w:sz="4" w:space="0"/>
              <w:right w:val="single" w:color="auto" w:sz="4" w:space="0"/>
            </w:tcBorders>
            <w:noWrap w:val="0"/>
            <w:vAlign w:val="center"/>
          </w:tcPr>
          <w:p w14:paraId="10CFCF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气瓶充装许可证</w:t>
            </w:r>
          </w:p>
        </w:tc>
        <w:tc>
          <w:tcPr>
            <w:tcW w:w="1200" w:type="dxa"/>
            <w:tcBorders>
              <w:top w:val="nil"/>
              <w:left w:val="nil"/>
              <w:bottom w:val="single" w:color="auto" w:sz="4" w:space="0"/>
              <w:right w:val="single" w:color="auto" w:sz="4" w:space="0"/>
            </w:tcBorders>
            <w:noWrap w:val="0"/>
            <w:vAlign w:val="center"/>
          </w:tcPr>
          <w:p w14:paraId="0EB99C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必备</w:t>
            </w:r>
          </w:p>
        </w:tc>
      </w:tr>
      <w:tr w14:paraId="257D9E1E">
        <w:tblPrEx>
          <w:tblCellMar>
            <w:top w:w="0" w:type="dxa"/>
            <w:left w:w="108" w:type="dxa"/>
            <w:bottom w:w="0" w:type="dxa"/>
            <w:right w:w="108" w:type="dxa"/>
          </w:tblCellMar>
        </w:tblPrEx>
        <w:trPr>
          <w:trHeight w:val="400" w:hRule="atLeast"/>
        </w:trPr>
        <w:tc>
          <w:tcPr>
            <w:tcW w:w="0" w:type="auto"/>
            <w:tcBorders>
              <w:top w:val="nil"/>
              <w:left w:val="single" w:color="auto" w:sz="4" w:space="0"/>
              <w:bottom w:val="single" w:color="auto" w:sz="4" w:space="0"/>
              <w:right w:val="single" w:color="auto" w:sz="4" w:space="0"/>
            </w:tcBorders>
            <w:noWrap w:val="0"/>
            <w:vAlign w:val="center"/>
          </w:tcPr>
          <w:p w14:paraId="47EF6D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6</w:t>
            </w:r>
          </w:p>
        </w:tc>
        <w:tc>
          <w:tcPr>
            <w:tcW w:w="7651" w:type="dxa"/>
            <w:tcBorders>
              <w:top w:val="nil"/>
              <w:left w:val="nil"/>
              <w:bottom w:val="single" w:color="auto" w:sz="4" w:space="0"/>
              <w:right w:val="single" w:color="auto" w:sz="4" w:space="0"/>
            </w:tcBorders>
            <w:noWrap w:val="0"/>
            <w:vAlign w:val="center"/>
          </w:tcPr>
          <w:p w14:paraId="546BEF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危险化学品经营许可证</w:t>
            </w:r>
          </w:p>
        </w:tc>
        <w:tc>
          <w:tcPr>
            <w:tcW w:w="1200" w:type="dxa"/>
            <w:tcBorders>
              <w:top w:val="nil"/>
              <w:left w:val="nil"/>
              <w:bottom w:val="single" w:color="auto" w:sz="4" w:space="0"/>
              <w:right w:val="single" w:color="auto" w:sz="4" w:space="0"/>
            </w:tcBorders>
            <w:noWrap w:val="0"/>
            <w:vAlign w:val="center"/>
          </w:tcPr>
          <w:p w14:paraId="4F5E41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必备</w:t>
            </w:r>
          </w:p>
        </w:tc>
      </w:tr>
      <w:tr w14:paraId="6E198ADC">
        <w:tblPrEx>
          <w:tblCellMar>
            <w:top w:w="0" w:type="dxa"/>
            <w:left w:w="108" w:type="dxa"/>
            <w:bottom w:w="0" w:type="dxa"/>
            <w:right w:w="108" w:type="dxa"/>
          </w:tblCellMar>
        </w:tblPrEx>
        <w:trPr>
          <w:trHeight w:val="400" w:hRule="atLeast"/>
        </w:trPr>
        <w:tc>
          <w:tcPr>
            <w:tcW w:w="0" w:type="auto"/>
            <w:tcBorders>
              <w:top w:val="nil"/>
              <w:left w:val="single" w:color="auto" w:sz="4" w:space="0"/>
              <w:bottom w:val="single" w:color="auto" w:sz="4" w:space="0"/>
              <w:right w:val="single" w:color="auto" w:sz="4" w:space="0"/>
            </w:tcBorders>
            <w:noWrap w:val="0"/>
            <w:vAlign w:val="center"/>
          </w:tcPr>
          <w:p w14:paraId="360D5A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7</w:t>
            </w:r>
          </w:p>
        </w:tc>
        <w:tc>
          <w:tcPr>
            <w:tcW w:w="7651" w:type="dxa"/>
            <w:tcBorders>
              <w:top w:val="nil"/>
              <w:left w:val="nil"/>
              <w:bottom w:val="single" w:color="auto" w:sz="4" w:space="0"/>
              <w:right w:val="single" w:color="auto" w:sz="4" w:space="0"/>
            </w:tcBorders>
            <w:noWrap w:val="0"/>
            <w:vAlign w:val="center"/>
          </w:tcPr>
          <w:p w14:paraId="64E11E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道路运输经营许可证（如有委托，需提供委托协议及受托方的道路运输经营许可证）</w:t>
            </w:r>
          </w:p>
        </w:tc>
        <w:tc>
          <w:tcPr>
            <w:tcW w:w="1200" w:type="dxa"/>
            <w:tcBorders>
              <w:top w:val="nil"/>
              <w:left w:val="nil"/>
              <w:bottom w:val="single" w:color="auto" w:sz="4" w:space="0"/>
              <w:right w:val="single" w:color="auto" w:sz="4" w:space="0"/>
            </w:tcBorders>
            <w:noWrap w:val="0"/>
            <w:vAlign w:val="center"/>
          </w:tcPr>
          <w:p w14:paraId="2BF8B8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必备</w:t>
            </w:r>
          </w:p>
        </w:tc>
      </w:tr>
      <w:tr w14:paraId="19BCC1B9">
        <w:tblPrEx>
          <w:tblCellMar>
            <w:top w:w="0" w:type="dxa"/>
            <w:left w:w="108" w:type="dxa"/>
            <w:bottom w:w="0" w:type="dxa"/>
            <w:right w:w="108" w:type="dxa"/>
          </w:tblCellMar>
        </w:tblPrEx>
        <w:trPr>
          <w:trHeight w:val="400" w:hRule="atLeast"/>
        </w:trPr>
        <w:tc>
          <w:tcPr>
            <w:tcW w:w="0" w:type="auto"/>
            <w:tcBorders>
              <w:top w:val="nil"/>
              <w:left w:val="single" w:color="auto" w:sz="4" w:space="0"/>
              <w:bottom w:val="single" w:color="auto" w:sz="4" w:space="0"/>
              <w:right w:val="single" w:color="auto" w:sz="4" w:space="0"/>
            </w:tcBorders>
            <w:noWrap w:val="0"/>
            <w:vAlign w:val="center"/>
          </w:tcPr>
          <w:p w14:paraId="0409AF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8</w:t>
            </w:r>
          </w:p>
        </w:tc>
        <w:tc>
          <w:tcPr>
            <w:tcW w:w="7651" w:type="dxa"/>
            <w:tcBorders>
              <w:top w:val="nil"/>
              <w:left w:val="nil"/>
              <w:bottom w:val="single" w:color="auto" w:sz="4" w:space="0"/>
              <w:right w:val="single" w:color="auto" w:sz="4" w:space="0"/>
            </w:tcBorders>
            <w:noWrap w:val="0"/>
            <w:vAlign w:val="center"/>
          </w:tcPr>
          <w:p w14:paraId="7F644C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《药品注册证》或《药品注册批件》或《药品再注册批件》或《药品再注册</w:t>
            </w:r>
            <w:r>
              <w:rPr>
                <w:rFonts w:hint="eastAsia" w:ascii="宋体" w:hAnsi="宋体" w:cs="宋体"/>
                <w:kern w:val="2"/>
                <w:sz w:val="24"/>
                <w:szCs w:val="24"/>
                <w:lang w:val="en-US" w:eastAsia="zh-CN" w:bidi="ar-SA"/>
              </w:rPr>
              <w:t>通知书</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或</w:t>
            </w:r>
            <w:r>
              <w:rPr>
                <w:rFonts w:hint="eastAsia" w:ascii="宋体" w:hAnsi="宋体" w:eastAsia="宋体" w:cs="宋体"/>
                <w:kern w:val="2"/>
                <w:sz w:val="24"/>
                <w:szCs w:val="24"/>
                <w:lang w:val="en-US" w:eastAsia="zh-CN" w:bidi="ar-SA"/>
              </w:rPr>
              <w:t>《药品补充申请批准通知书》</w:t>
            </w:r>
          </w:p>
        </w:tc>
        <w:tc>
          <w:tcPr>
            <w:tcW w:w="1200" w:type="dxa"/>
            <w:tcBorders>
              <w:top w:val="nil"/>
              <w:left w:val="nil"/>
              <w:bottom w:val="single" w:color="auto" w:sz="4" w:space="0"/>
              <w:right w:val="single" w:color="auto" w:sz="4" w:space="0"/>
            </w:tcBorders>
            <w:noWrap w:val="0"/>
            <w:vAlign w:val="center"/>
          </w:tcPr>
          <w:p w14:paraId="2C2355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必备</w:t>
            </w:r>
          </w:p>
        </w:tc>
      </w:tr>
      <w:tr w14:paraId="01C08CC9">
        <w:tblPrEx>
          <w:tblCellMar>
            <w:top w:w="0" w:type="dxa"/>
            <w:left w:w="108" w:type="dxa"/>
            <w:bottom w:w="0" w:type="dxa"/>
            <w:right w:w="108" w:type="dxa"/>
          </w:tblCellMar>
        </w:tblPrEx>
        <w:trPr>
          <w:trHeight w:val="1512" w:hRule="atLeast"/>
        </w:trPr>
        <w:tc>
          <w:tcPr>
            <w:tcW w:w="0" w:type="auto"/>
            <w:tcBorders>
              <w:top w:val="nil"/>
              <w:left w:val="single" w:color="auto" w:sz="4" w:space="0"/>
              <w:bottom w:val="single" w:color="auto" w:sz="4" w:space="0"/>
              <w:right w:val="single" w:color="auto" w:sz="4" w:space="0"/>
            </w:tcBorders>
            <w:noWrap w:val="0"/>
            <w:vAlign w:val="center"/>
          </w:tcPr>
          <w:p w14:paraId="2517E9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9</w:t>
            </w:r>
          </w:p>
        </w:tc>
        <w:tc>
          <w:tcPr>
            <w:tcW w:w="7651" w:type="dxa"/>
            <w:tcBorders>
              <w:top w:val="nil"/>
              <w:left w:val="nil"/>
              <w:bottom w:val="single" w:color="auto" w:sz="4" w:space="0"/>
              <w:right w:val="single" w:color="auto" w:sz="4" w:space="0"/>
            </w:tcBorders>
            <w:noWrap w:val="0"/>
            <w:vAlign w:val="center"/>
          </w:tcPr>
          <w:p w14:paraId="018EB7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项目采购活动。</w:t>
            </w:r>
            <w:r>
              <w:rPr>
                <w:rFonts w:hint="eastAsia" w:ascii="宋体" w:hAnsi="宋体" w:cs="宋体"/>
                <w:kern w:val="2"/>
                <w:sz w:val="24"/>
                <w:szCs w:val="24"/>
                <w:lang w:val="en-US" w:eastAsia="zh-CN" w:bidi="ar-SA"/>
              </w:rPr>
              <w:t>（截图）</w:t>
            </w:r>
          </w:p>
          <w:p w14:paraId="0247BC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p>
        </w:tc>
        <w:tc>
          <w:tcPr>
            <w:tcW w:w="1200" w:type="dxa"/>
            <w:tcBorders>
              <w:top w:val="nil"/>
              <w:left w:val="nil"/>
              <w:bottom w:val="single" w:color="auto" w:sz="4" w:space="0"/>
              <w:right w:val="single" w:color="auto" w:sz="4" w:space="0"/>
            </w:tcBorders>
            <w:noWrap w:val="0"/>
            <w:vAlign w:val="center"/>
          </w:tcPr>
          <w:p w14:paraId="727C48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必备</w:t>
            </w:r>
          </w:p>
        </w:tc>
      </w:tr>
      <w:tr w14:paraId="4DB226AD">
        <w:tblPrEx>
          <w:tblCellMar>
            <w:top w:w="0" w:type="dxa"/>
            <w:left w:w="108" w:type="dxa"/>
            <w:bottom w:w="0" w:type="dxa"/>
            <w:right w:w="108" w:type="dxa"/>
          </w:tblCellMar>
        </w:tblPrEx>
        <w:trPr>
          <w:trHeight w:val="400" w:hRule="atLeast"/>
        </w:trPr>
        <w:tc>
          <w:tcPr>
            <w:tcW w:w="0" w:type="auto"/>
            <w:tcBorders>
              <w:top w:val="nil"/>
              <w:left w:val="single" w:color="auto" w:sz="4" w:space="0"/>
              <w:bottom w:val="single" w:color="auto" w:sz="4" w:space="0"/>
              <w:right w:val="single" w:color="auto" w:sz="4" w:space="0"/>
            </w:tcBorders>
            <w:noWrap w:val="0"/>
            <w:vAlign w:val="center"/>
          </w:tcPr>
          <w:p w14:paraId="7B13F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10</w:t>
            </w:r>
          </w:p>
        </w:tc>
        <w:tc>
          <w:tcPr>
            <w:tcW w:w="7651" w:type="dxa"/>
            <w:tcBorders>
              <w:top w:val="nil"/>
              <w:left w:val="nil"/>
              <w:bottom w:val="single" w:color="auto" w:sz="4" w:space="0"/>
              <w:right w:val="single" w:color="auto" w:sz="4" w:space="0"/>
            </w:tcBorders>
            <w:noWrap w:val="0"/>
            <w:vAlign w:val="center"/>
          </w:tcPr>
          <w:p w14:paraId="71A8D0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响应表</w:t>
            </w:r>
          </w:p>
        </w:tc>
        <w:tc>
          <w:tcPr>
            <w:tcW w:w="1200" w:type="dxa"/>
            <w:tcBorders>
              <w:top w:val="nil"/>
              <w:left w:val="nil"/>
              <w:bottom w:val="single" w:color="auto" w:sz="4" w:space="0"/>
              <w:right w:val="single" w:color="auto" w:sz="4" w:space="0"/>
            </w:tcBorders>
            <w:noWrap w:val="0"/>
            <w:vAlign w:val="center"/>
          </w:tcPr>
          <w:p w14:paraId="6991CE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必备</w:t>
            </w:r>
          </w:p>
        </w:tc>
      </w:tr>
      <w:tr w14:paraId="795718AA">
        <w:tblPrEx>
          <w:tblCellMar>
            <w:top w:w="0" w:type="dxa"/>
            <w:left w:w="108" w:type="dxa"/>
            <w:bottom w:w="0" w:type="dxa"/>
            <w:right w:w="108" w:type="dxa"/>
          </w:tblCellMar>
        </w:tblPrEx>
        <w:trPr>
          <w:trHeight w:val="400" w:hRule="atLeast"/>
        </w:trPr>
        <w:tc>
          <w:tcPr>
            <w:tcW w:w="0" w:type="auto"/>
            <w:tcBorders>
              <w:top w:val="nil"/>
              <w:left w:val="single" w:color="auto" w:sz="4" w:space="0"/>
              <w:bottom w:val="single" w:color="auto" w:sz="4" w:space="0"/>
              <w:right w:val="single" w:color="auto" w:sz="4" w:space="0"/>
            </w:tcBorders>
            <w:noWrap w:val="0"/>
            <w:vAlign w:val="center"/>
          </w:tcPr>
          <w:p w14:paraId="20EA08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11</w:t>
            </w:r>
          </w:p>
        </w:tc>
        <w:tc>
          <w:tcPr>
            <w:tcW w:w="7651" w:type="dxa"/>
            <w:tcBorders>
              <w:top w:val="nil"/>
              <w:left w:val="nil"/>
              <w:bottom w:val="single" w:color="auto" w:sz="4" w:space="0"/>
              <w:right w:val="single" w:color="auto" w:sz="4" w:space="0"/>
            </w:tcBorders>
            <w:noWrap w:val="0"/>
            <w:vAlign w:val="center"/>
          </w:tcPr>
          <w:p w14:paraId="522706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报价表</w:t>
            </w:r>
          </w:p>
        </w:tc>
        <w:tc>
          <w:tcPr>
            <w:tcW w:w="1200" w:type="dxa"/>
            <w:tcBorders>
              <w:top w:val="nil"/>
              <w:left w:val="nil"/>
              <w:bottom w:val="single" w:color="auto" w:sz="4" w:space="0"/>
              <w:right w:val="single" w:color="auto" w:sz="4" w:space="0"/>
            </w:tcBorders>
            <w:noWrap w:val="0"/>
            <w:vAlign w:val="center"/>
          </w:tcPr>
          <w:p w14:paraId="544D50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必备</w:t>
            </w:r>
          </w:p>
        </w:tc>
      </w:tr>
      <w:tr w14:paraId="3A40FC5C">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single" w:color="auto" w:sz="4" w:space="0"/>
            </w:tcBorders>
            <w:noWrap w:val="0"/>
            <w:vAlign w:val="center"/>
          </w:tcPr>
          <w:p w14:paraId="59435A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lang w:val="en-US" w:eastAsia="zh-CN" w:bidi="ar-SA"/>
              </w:rPr>
            </w:pPr>
          </w:p>
        </w:tc>
        <w:tc>
          <w:tcPr>
            <w:tcW w:w="7651" w:type="dxa"/>
            <w:tcBorders>
              <w:top w:val="nil"/>
              <w:left w:val="nil"/>
              <w:bottom w:val="single" w:color="auto" w:sz="4" w:space="0"/>
              <w:right w:val="single" w:color="auto" w:sz="4" w:space="0"/>
            </w:tcBorders>
            <w:noWrap w:val="0"/>
            <w:vAlign w:val="center"/>
          </w:tcPr>
          <w:p w14:paraId="07E114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p>
        </w:tc>
        <w:tc>
          <w:tcPr>
            <w:tcW w:w="1200" w:type="dxa"/>
            <w:tcBorders>
              <w:top w:val="nil"/>
              <w:left w:val="nil"/>
              <w:bottom w:val="single" w:color="auto" w:sz="4" w:space="0"/>
              <w:right w:val="single" w:color="auto" w:sz="4" w:space="0"/>
            </w:tcBorders>
            <w:noWrap w:val="0"/>
            <w:vAlign w:val="center"/>
          </w:tcPr>
          <w:p w14:paraId="0957F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4"/>
                <w:szCs w:val="24"/>
                <w:lang w:val="en-US" w:eastAsia="zh-CN" w:bidi="ar-SA"/>
              </w:rPr>
            </w:pPr>
          </w:p>
        </w:tc>
      </w:tr>
      <w:bookmarkEnd w:id="0"/>
      <w:bookmarkEnd w:id="1"/>
    </w:tbl>
    <w:p w14:paraId="738BD155">
      <w:pPr>
        <w:rPr>
          <w:rFonts w:hint="eastAsia"/>
        </w:rPr>
      </w:pPr>
      <w:r>
        <w:rPr>
          <w:rFonts w:hint="eastAsia"/>
          <w:lang w:val="en-US" w:eastAsia="zh-CN"/>
        </w:rPr>
        <w:t>注：请按以上表格顺序装订报名材料，所有文件均需加盖公章。备注“必备”的文件必须提供，</w:t>
      </w:r>
      <w:r>
        <w:rPr>
          <w:rFonts w:hint="eastAsia"/>
        </w:rPr>
        <w:t>如</w:t>
      </w:r>
      <w:r>
        <w:rPr>
          <w:rFonts w:hint="eastAsia"/>
          <w:lang w:val="en-US" w:eastAsia="zh-CN"/>
        </w:rPr>
        <w:t>未提供或</w:t>
      </w:r>
      <w:r>
        <w:rPr>
          <w:rFonts w:hint="eastAsia"/>
        </w:rPr>
        <w:t>无加盖</w:t>
      </w:r>
      <w:r>
        <w:rPr>
          <w:rFonts w:hint="eastAsia"/>
          <w:lang w:val="en-US" w:eastAsia="zh-CN"/>
        </w:rPr>
        <w:t>公章</w:t>
      </w:r>
      <w:r>
        <w:rPr>
          <w:rFonts w:hint="eastAsia"/>
        </w:rPr>
        <w:t>，</w:t>
      </w:r>
      <w:r>
        <w:rPr>
          <w:rFonts w:hint="eastAsia"/>
          <w:lang w:val="en-US" w:eastAsia="zh-CN"/>
        </w:rPr>
        <w:t>报名</w:t>
      </w:r>
      <w:r>
        <w:rPr>
          <w:rFonts w:hint="eastAsia"/>
        </w:rPr>
        <w:t>文件将被视为无效</w:t>
      </w:r>
    </w:p>
    <w:p w14:paraId="73266E66">
      <w:pPr>
        <w:pStyle w:val="4"/>
        <w:rPr>
          <w:rFonts w:hint="eastAsia"/>
        </w:rPr>
      </w:pPr>
    </w:p>
    <w:p w14:paraId="090D524D">
      <w:pPr>
        <w:rPr>
          <w:rFonts w:hint="eastAsia"/>
        </w:rPr>
      </w:pPr>
    </w:p>
    <w:p w14:paraId="42AFA593">
      <w:pPr>
        <w:rPr>
          <w:rFonts w:hint="eastAsia"/>
        </w:rPr>
      </w:pPr>
    </w:p>
    <w:p w14:paraId="0DEC78DD">
      <w:pPr>
        <w:rPr>
          <w:rFonts w:hint="eastAsia"/>
        </w:rPr>
      </w:pPr>
    </w:p>
    <w:p w14:paraId="30BF108A">
      <w:pPr>
        <w:rPr>
          <w:rFonts w:hint="eastAsia"/>
        </w:rPr>
      </w:pPr>
    </w:p>
    <w:p w14:paraId="401CE56C">
      <w:pPr>
        <w:rPr>
          <w:rFonts w:hint="eastAsia"/>
        </w:rPr>
      </w:pPr>
    </w:p>
    <w:p w14:paraId="3DCC2FFD">
      <w:pPr>
        <w:rPr>
          <w:rFonts w:hint="eastAsia"/>
        </w:rPr>
      </w:pPr>
    </w:p>
    <w:p w14:paraId="4DE344FC">
      <w:pPr>
        <w:rPr>
          <w:rFonts w:hint="eastAsia"/>
        </w:rPr>
      </w:pPr>
    </w:p>
    <w:p w14:paraId="73D882C8">
      <w:pPr>
        <w:rPr>
          <w:rFonts w:hint="eastAsia"/>
        </w:rPr>
      </w:pPr>
    </w:p>
    <w:p w14:paraId="18BF7031">
      <w:pPr>
        <w:rPr>
          <w:rFonts w:hint="eastAsia"/>
        </w:rPr>
      </w:pPr>
    </w:p>
    <w:p w14:paraId="74B3F828">
      <w:pPr>
        <w:rPr>
          <w:rFonts w:hint="eastAsia"/>
        </w:rPr>
      </w:pPr>
    </w:p>
    <w:p w14:paraId="7F42199A">
      <w:pPr>
        <w:rPr>
          <w:rFonts w:hint="eastAsia"/>
        </w:rPr>
      </w:pPr>
    </w:p>
    <w:p w14:paraId="0A30B96E">
      <w:pPr>
        <w:rPr>
          <w:rFonts w:hint="eastAsia"/>
        </w:rPr>
      </w:pPr>
    </w:p>
    <w:p w14:paraId="710480D4">
      <w:p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响应表</w:t>
      </w:r>
    </w:p>
    <w:p w14:paraId="5811D61A">
      <w:pPr>
        <w:jc w:val="center"/>
        <w:rPr>
          <w:rFonts w:hint="default" w:ascii="宋体" w:hAnsi="宋体" w:cs="宋体"/>
          <w:b w:val="0"/>
          <w:bCs w:val="0"/>
          <w:kern w:val="0"/>
          <w:sz w:val="28"/>
          <w:szCs w:val="28"/>
          <w:lang w:val="en-US" w:eastAsia="zh-CN"/>
        </w:rPr>
      </w:pPr>
      <w:r>
        <w:rPr>
          <w:rFonts w:hint="eastAsia" w:ascii="宋体" w:hAnsi="宋体" w:cs="宋体"/>
          <w:b w:val="0"/>
          <w:bCs w:val="0"/>
          <w:kern w:val="0"/>
          <w:szCs w:val="21"/>
        </w:rPr>
        <w:t>（“实质性要求”是指文件中已经指明不满足则投标无效的条款，或者不能负偏离的条款，或者采购需求中带“▲”或“★”的条款。）</w:t>
      </w:r>
    </w:p>
    <w:tbl>
      <w:tblPr>
        <w:tblStyle w:val="7"/>
        <w:tblpPr w:leftFromText="180" w:rightFromText="180" w:vertAnchor="text" w:horzAnchor="page" w:tblpX="800" w:tblpY="606"/>
        <w:tblOverlap w:val="never"/>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2"/>
        <w:gridCol w:w="336"/>
        <w:gridCol w:w="348"/>
        <w:gridCol w:w="8016"/>
        <w:gridCol w:w="900"/>
      </w:tblGrid>
      <w:tr w14:paraId="50085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1" w:type="pct"/>
            <w:noWrap w:val="0"/>
            <w:vAlign w:val="center"/>
          </w:tcPr>
          <w:p w14:paraId="23E57444">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
                <w:color w:val="auto"/>
                <w:kern w:val="2"/>
                <w:sz w:val="21"/>
                <w:szCs w:val="21"/>
                <w:highlight w:val="none"/>
              </w:rPr>
              <w:t>序号</w:t>
            </w:r>
          </w:p>
        </w:tc>
        <w:tc>
          <w:tcPr>
            <w:tcW w:w="168" w:type="pct"/>
            <w:noWrap w:val="0"/>
            <w:vAlign w:val="center"/>
          </w:tcPr>
          <w:p w14:paraId="6893017B">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
                <w:color w:val="auto"/>
                <w:kern w:val="2"/>
                <w:sz w:val="21"/>
                <w:szCs w:val="21"/>
                <w:highlight w:val="none"/>
              </w:rPr>
              <w:t>标的名称</w:t>
            </w:r>
          </w:p>
        </w:tc>
        <w:tc>
          <w:tcPr>
            <w:tcW w:w="175" w:type="pct"/>
            <w:noWrap w:val="0"/>
            <w:vAlign w:val="center"/>
          </w:tcPr>
          <w:p w14:paraId="6F20B621">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
                <w:color w:val="auto"/>
                <w:kern w:val="2"/>
                <w:sz w:val="21"/>
                <w:szCs w:val="21"/>
                <w:highlight w:val="none"/>
              </w:rPr>
              <w:t>数量</w:t>
            </w:r>
          </w:p>
        </w:tc>
        <w:tc>
          <w:tcPr>
            <w:tcW w:w="4031" w:type="pct"/>
            <w:noWrap w:val="0"/>
            <w:vAlign w:val="center"/>
          </w:tcPr>
          <w:p w14:paraId="3EDF54EB">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eastAsia="宋体" w:cs="宋体"/>
                <w:b/>
                <w:color w:val="auto"/>
                <w:kern w:val="2"/>
                <w:sz w:val="21"/>
                <w:szCs w:val="21"/>
                <w:highlight w:val="none"/>
                <w:lang w:eastAsia="zh-CN"/>
              </w:rPr>
            </w:pPr>
            <w:r>
              <w:rPr>
                <w:rFonts w:hint="eastAsia" w:hAnsi="宋体" w:cs="宋体"/>
                <w:b/>
                <w:color w:val="auto"/>
                <w:kern w:val="2"/>
                <w:sz w:val="21"/>
                <w:szCs w:val="21"/>
                <w:highlight w:val="none"/>
              </w:rPr>
              <w:t>技术</w:t>
            </w:r>
            <w:r>
              <w:rPr>
                <w:rFonts w:hint="eastAsia" w:hAnsi="宋体" w:cs="宋体"/>
                <w:b/>
                <w:color w:val="auto"/>
                <w:kern w:val="2"/>
                <w:sz w:val="21"/>
                <w:szCs w:val="21"/>
                <w:highlight w:val="none"/>
                <w:lang w:val="en-US" w:eastAsia="zh-CN"/>
              </w:rPr>
              <w:t>参数</w:t>
            </w:r>
          </w:p>
        </w:tc>
        <w:tc>
          <w:tcPr>
            <w:tcW w:w="452" w:type="pct"/>
            <w:noWrap w:val="0"/>
            <w:vAlign w:val="center"/>
          </w:tcPr>
          <w:p w14:paraId="05BCEB6E">
            <w:pPr>
              <w:widowControl/>
              <w:jc w:val="center"/>
              <w:rPr>
                <w:rFonts w:hint="eastAsia" w:ascii="宋体" w:hAnsi="宋体" w:cs="宋体"/>
                <w:b w:val="0"/>
                <w:bCs w:val="0"/>
                <w:kern w:val="0"/>
                <w:sz w:val="15"/>
                <w:szCs w:val="15"/>
              </w:rPr>
            </w:pPr>
            <w:r>
              <w:rPr>
                <w:rFonts w:hint="eastAsia" w:ascii="宋体" w:hAnsi="宋体" w:cs="宋体"/>
                <w:b w:val="0"/>
                <w:bCs w:val="0"/>
                <w:kern w:val="0"/>
                <w:sz w:val="15"/>
                <w:szCs w:val="15"/>
              </w:rPr>
              <w:t>参数是否响应</w:t>
            </w:r>
          </w:p>
          <w:p w14:paraId="4EDC27FF">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eastAsia="宋体" w:cs="宋体"/>
                <w:b w:val="0"/>
                <w:bCs w:val="0"/>
                <w:color w:val="auto"/>
                <w:kern w:val="2"/>
                <w:sz w:val="15"/>
                <w:szCs w:val="15"/>
                <w:highlight w:val="none"/>
                <w:lang w:eastAsia="zh-CN"/>
              </w:rPr>
            </w:pPr>
            <w:r>
              <w:rPr>
                <w:rFonts w:hint="eastAsia" w:ascii="宋体" w:hAnsi="宋体" w:cs="宋体"/>
                <w:b w:val="0"/>
                <w:bCs w:val="0"/>
                <w:kern w:val="0"/>
                <w:sz w:val="15"/>
                <w:szCs w:val="15"/>
              </w:rPr>
              <w:t>（是/否</w:t>
            </w:r>
            <w:r>
              <w:rPr>
                <w:rFonts w:hint="eastAsia" w:hAnsi="宋体" w:cs="宋体"/>
                <w:b w:val="0"/>
                <w:bCs w:val="0"/>
                <w:kern w:val="0"/>
                <w:sz w:val="15"/>
                <w:szCs w:val="15"/>
                <w:lang w:eastAsia="zh-CN"/>
              </w:rPr>
              <w:t>）</w:t>
            </w:r>
          </w:p>
        </w:tc>
      </w:tr>
      <w:tr w14:paraId="068C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trPr>
        <w:tc>
          <w:tcPr>
            <w:tcW w:w="171" w:type="pct"/>
            <w:noWrap w:val="0"/>
            <w:vAlign w:val="center"/>
          </w:tcPr>
          <w:p w14:paraId="0BB9A8E0">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eastAsia="宋体" w:cs="宋体"/>
                <w:b/>
                <w:color w:val="auto"/>
                <w:kern w:val="2"/>
                <w:sz w:val="21"/>
                <w:szCs w:val="21"/>
                <w:highlight w:val="none"/>
                <w:lang w:val="en-US" w:eastAsia="zh-CN"/>
              </w:rPr>
            </w:pPr>
            <w:r>
              <w:rPr>
                <w:rFonts w:hint="eastAsia" w:hAnsi="宋体" w:cs="宋体"/>
                <w:b/>
                <w:color w:val="auto"/>
                <w:kern w:val="2"/>
                <w:sz w:val="21"/>
                <w:szCs w:val="21"/>
                <w:highlight w:val="none"/>
                <w:lang w:val="en-US" w:eastAsia="zh-CN"/>
              </w:rPr>
              <w:t>1</w:t>
            </w:r>
          </w:p>
        </w:tc>
        <w:tc>
          <w:tcPr>
            <w:tcW w:w="168" w:type="pct"/>
            <w:noWrap w:val="0"/>
            <w:vAlign w:val="center"/>
          </w:tcPr>
          <w:p w14:paraId="13CBCA43">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eastAsia="宋体" w:cs="宋体"/>
                <w:b/>
                <w:color w:val="auto"/>
                <w:kern w:val="2"/>
                <w:sz w:val="21"/>
                <w:szCs w:val="21"/>
                <w:highlight w:val="none"/>
                <w:lang w:val="en-US" w:eastAsia="zh-CN"/>
              </w:rPr>
            </w:pPr>
            <w:r>
              <w:rPr>
                <w:rFonts w:hint="eastAsia" w:hAnsi="宋体" w:cs="宋体"/>
                <w:b/>
                <w:color w:val="auto"/>
                <w:kern w:val="2"/>
                <w:sz w:val="21"/>
                <w:szCs w:val="21"/>
                <w:highlight w:val="none"/>
                <w:lang w:val="en-US" w:eastAsia="zh-CN"/>
              </w:rPr>
              <w:t>瓶装医用气体配送服务项目</w:t>
            </w:r>
          </w:p>
        </w:tc>
        <w:tc>
          <w:tcPr>
            <w:tcW w:w="175" w:type="pct"/>
            <w:noWrap w:val="0"/>
            <w:vAlign w:val="center"/>
          </w:tcPr>
          <w:p w14:paraId="7CAF78FE">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Cs/>
                <w:color w:val="auto"/>
                <w:kern w:val="2"/>
                <w:sz w:val="21"/>
                <w:szCs w:val="21"/>
                <w:highlight w:val="none"/>
                <w:lang w:val="en-US" w:eastAsia="zh-CN"/>
              </w:rPr>
              <w:t>1批</w:t>
            </w:r>
          </w:p>
        </w:tc>
        <w:tc>
          <w:tcPr>
            <w:tcW w:w="4031" w:type="pct"/>
            <w:noWrap w:val="0"/>
            <w:vAlign w:val="center"/>
          </w:tcPr>
          <w:p w14:paraId="58D20C4A">
            <w:pPr>
              <w:pStyle w:val="5"/>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hAnsi="宋体" w:cs="宋体"/>
                <w:b/>
                <w:color w:val="auto"/>
                <w:kern w:val="2"/>
                <w:sz w:val="21"/>
                <w:szCs w:val="21"/>
                <w:highlight w:val="none"/>
                <w:lang w:val="en-US" w:eastAsia="zh-CN"/>
              </w:rPr>
            </w:pPr>
            <w:r>
              <w:rPr>
                <w:rFonts w:hint="eastAsia" w:ascii="宋体" w:hAnsi="宋体" w:eastAsia="宋体" w:cs="宋体"/>
                <w:b/>
                <w:color w:val="auto"/>
                <w:kern w:val="2"/>
                <w:sz w:val="21"/>
                <w:szCs w:val="21"/>
                <w:lang w:val="en-US" w:eastAsia="zh-CN" w:bidi="ar-SA"/>
              </w:rPr>
              <w:t>一、</w:t>
            </w:r>
            <w:r>
              <w:rPr>
                <w:rFonts w:hint="eastAsia" w:hAnsi="宋体" w:cs="宋体"/>
                <w:b/>
                <w:color w:val="auto"/>
                <w:kern w:val="2"/>
                <w:sz w:val="21"/>
                <w:szCs w:val="21"/>
                <w:highlight w:val="none"/>
                <w:lang w:val="en-US" w:eastAsia="zh-CN"/>
              </w:rPr>
              <w:t>项目概况</w:t>
            </w:r>
          </w:p>
          <w:p w14:paraId="0029F451">
            <w:pPr>
              <w:numPr>
                <w:ilvl w:val="0"/>
                <w:numId w:val="1"/>
              </w:numPr>
              <w:rPr>
                <w:rFonts w:hint="eastAsia"/>
                <w:highlight w:val="none"/>
                <w:lang w:val="en-US" w:eastAsia="zh-CN"/>
              </w:rPr>
            </w:pPr>
            <w:r>
              <w:rPr>
                <w:rFonts w:hint="eastAsia"/>
                <w:highlight w:val="none"/>
                <w:lang w:val="en-US" w:eastAsia="zh-CN"/>
              </w:rPr>
              <w:t>河池市中医医院拟采购</w:t>
            </w:r>
            <w:r>
              <w:rPr>
                <w:rFonts w:hint="eastAsia" w:hAnsi="宋体" w:cs="宋体"/>
                <w:bCs/>
                <w:color w:val="auto"/>
                <w:kern w:val="2"/>
                <w:sz w:val="21"/>
                <w:szCs w:val="21"/>
                <w:highlight w:val="none"/>
              </w:rPr>
              <w:t>瓶装医用气体</w:t>
            </w:r>
            <w:r>
              <w:rPr>
                <w:rFonts w:hint="eastAsia" w:hAnsi="宋体" w:cs="宋体"/>
                <w:bCs/>
                <w:color w:val="auto"/>
                <w:kern w:val="2"/>
                <w:sz w:val="21"/>
                <w:szCs w:val="21"/>
                <w:highlight w:val="none"/>
                <w:lang w:val="en-US" w:eastAsia="zh-CN"/>
              </w:rPr>
              <w:t>一批</w:t>
            </w:r>
            <w:r>
              <w:rPr>
                <w:rFonts w:hint="default"/>
                <w:highlight w:val="none"/>
                <w:lang w:val="en-US" w:eastAsia="zh-CN"/>
              </w:rPr>
              <w:t>，</w:t>
            </w:r>
            <w:r>
              <w:rPr>
                <w:rFonts w:hint="eastAsia"/>
                <w:highlight w:val="none"/>
                <w:lang w:val="en-US" w:eastAsia="zh-CN"/>
              </w:rPr>
              <w:t>数量为预估，供应商根据采购人需求分批送货，根据实际用量据实结算。</w:t>
            </w:r>
          </w:p>
          <w:p w14:paraId="41F7B897">
            <w:pPr>
              <w:numPr>
                <w:ilvl w:val="0"/>
                <w:numId w:val="1"/>
              </w:numPr>
              <w:rPr>
                <w:rFonts w:hint="eastAsia"/>
                <w:highlight w:val="none"/>
                <w:lang w:val="en-US" w:eastAsia="zh-CN"/>
              </w:rPr>
            </w:pPr>
            <w:r>
              <w:rPr>
                <w:rFonts w:hint="default"/>
                <w:highlight w:val="none"/>
                <w:lang w:val="en-US" w:eastAsia="zh-CN"/>
              </w:rPr>
              <w:t>采购需求概况的</w:t>
            </w:r>
            <w:r>
              <w:rPr>
                <w:rFonts w:hint="eastAsia"/>
                <w:highlight w:val="none"/>
                <w:lang w:val="en-US" w:eastAsia="zh-CN"/>
              </w:rPr>
              <w:t>规格与</w:t>
            </w:r>
            <w:r>
              <w:rPr>
                <w:rFonts w:hint="default"/>
                <w:highlight w:val="none"/>
                <w:lang w:val="en-US" w:eastAsia="zh-CN"/>
              </w:rPr>
              <w:t>参数</w:t>
            </w:r>
            <w:r>
              <w:rPr>
                <w:rFonts w:hint="eastAsia"/>
                <w:highlight w:val="none"/>
                <w:lang w:val="en-US" w:eastAsia="zh-CN"/>
              </w:rPr>
              <w:t>要求</w:t>
            </w:r>
            <w:r>
              <w:rPr>
                <w:rFonts w:hint="default"/>
                <w:highlight w:val="none"/>
                <w:lang w:val="en-US" w:eastAsia="zh-CN"/>
              </w:rPr>
              <w:t>仅供参考，最终采购的产品以</w:t>
            </w:r>
            <w:r>
              <w:rPr>
                <w:rFonts w:hint="eastAsia"/>
                <w:highlight w:val="none"/>
                <w:lang w:val="en-US" w:eastAsia="zh-CN"/>
              </w:rPr>
              <w:t>院内议价采购</w:t>
            </w:r>
            <w:r>
              <w:rPr>
                <w:rFonts w:hint="default"/>
                <w:highlight w:val="none"/>
                <w:lang w:val="en-US" w:eastAsia="zh-CN"/>
              </w:rPr>
              <w:t>的结果为准。</w:t>
            </w:r>
          </w:p>
          <w:p w14:paraId="29FE0851">
            <w:pPr>
              <w:numPr>
                <w:ilvl w:val="0"/>
                <w:numId w:val="1"/>
              </w:numPr>
              <w:rPr>
                <w:rFonts w:hint="default"/>
                <w:highlight w:val="none"/>
                <w:lang w:val="en-US" w:eastAsia="zh-CN"/>
              </w:rPr>
            </w:pPr>
            <w:r>
              <w:rPr>
                <w:rFonts w:hint="eastAsia"/>
                <w:highlight w:val="none"/>
                <w:lang w:val="en-US" w:eastAsia="zh-CN"/>
              </w:rPr>
              <w:t>交付地点：河池市中医医院，采购人指定地点。</w:t>
            </w:r>
          </w:p>
          <w:p w14:paraId="6D88853F">
            <w:pPr>
              <w:numPr>
                <w:ilvl w:val="0"/>
                <w:numId w:val="0"/>
              </w:numPr>
              <w:ind w:left="0" w:leftChars="0" w:firstLine="0" w:firstLineChars="0"/>
              <w:rPr>
                <w:rFonts w:hint="eastAsia"/>
                <w:b/>
                <w:bCs/>
                <w:highlight w:val="none"/>
                <w:lang w:val="en-US" w:eastAsia="zh-CN"/>
              </w:rPr>
            </w:pPr>
            <w:r>
              <w:rPr>
                <w:rFonts w:hint="eastAsia" w:ascii="Times New Roman" w:hAnsi="Times New Roman" w:eastAsia="宋体" w:cs="Times New Roman"/>
                <w:b/>
                <w:bCs/>
                <w:kern w:val="2"/>
                <w:sz w:val="21"/>
                <w:szCs w:val="24"/>
                <w:lang w:val="en-US" w:eastAsia="zh-CN" w:bidi="ar-SA"/>
              </w:rPr>
              <w:t>二、</w:t>
            </w:r>
            <w:r>
              <w:rPr>
                <w:rFonts w:hint="eastAsia"/>
                <w:b/>
                <w:bCs/>
                <w:highlight w:val="none"/>
                <w:lang w:val="en-US" w:eastAsia="zh-CN"/>
              </w:rPr>
              <w:t>采购清单</w:t>
            </w:r>
          </w:p>
          <w:tbl>
            <w:tblPr>
              <w:tblStyle w:val="7"/>
              <w:tblpPr w:leftFromText="180" w:rightFromText="180" w:vertAnchor="text" w:horzAnchor="page" w:tblpX="156" w:tblpY="90"/>
              <w:tblOverlap w:val="never"/>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921"/>
              <w:gridCol w:w="696"/>
              <w:gridCol w:w="619"/>
              <w:gridCol w:w="806"/>
              <w:gridCol w:w="4107"/>
            </w:tblGrid>
            <w:tr w14:paraId="4627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5" w:type="pct"/>
                  <w:shd w:val="clear" w:color="auto" w:fill="auto"/>
                  <w:noWrap/>
                  <w:vAlign w:val="center"/>
                </w:tcPr>
                <w:p w14:paraId="2868E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595" w:type="pct"/>
                  <w:shd w:val="clear" w:color="auto" w:fill="auto"/>
                  <w:noWrap/>
                  <w:vAlign w:val="center"/>
                </w:tcPr>
                <w:p w14:paraId="792008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货物名称</w:t>
                  </w:r>
                </w:p>
              </w:tc>
              <w:tc>
                <w:tcPr>
                  <w:tcW w:w="450" w:type="pct"/>
                  <w:shd w:val="clear" w:color="auto" w:fill="auto"/>
                  <w:noWrap/>
                  <w:vAlign w:val="center"/>
                </w:tcPr>
                <w:p w14:paraId="22BE02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400" w:type="pct"/>
                  <w:shd w:val="clear" w:color="auto" w:fill="auto"/>
                  <w:noWrap/>
                  <w:vAlign w:val="center"/>
                </w:tcPr>
                <w:p w14:paraId="2C9CE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521" w:type="pct"/>
                  <w:shd w:val="clear" w:color="auto" w:fill="auto"/>
                  <w:noWrap/>
                  <w:vAlign w:val="center"/>
                </w:tcPr>
                <w:p w14:paraId="3F257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预估数量</w:t>
                  </w:r>
                </w:p>
              </w:tc>
              <w:tc>
                <w:tcPr>
                  <w:tcW w:w="2666" w:type="pct"/>
                  <w:shd w:val="clear" w:color="auto" w:fill="auto"/>
                  <w:noWrap/>
                  <w:vAlign w:val="center"/>
                </w:tcPr>
                <w:p w14:paraId="4325588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规格及参数要求</w:t>
                  </w:r>
                </w:p>
              </w:tc>
            </w:tr>
            <w:tr w14:paraId="0F5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365" w:type="pct"/>
                  <w:shd w:val="clear" w:color="auto" w:fill="auto"/>
                  <w:noWrap/>
                  <w:vAlign w:val="center"/>
                </w:tcPr>
                <w:p w14:paraId="14B9E8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95" w:type="pct"/>
                  <w:shd w:val="clear" w:color="auto" w:fill="auto"/>
                  <w:noWrap/>
                  <w:vAlign w:val="center"/>
                </w:tcPr>
                <w:p w14:paraId="5DB4D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医用氧气（瓶）</w:t>
                  </w:r>
                </w:p>
              </w:tc>
              <w:tc>
                <w:tcPr>
                  <w:tcW w:w="450" w:type="pct"/>
                  <w:shd w:val="clear" w:color="auto" w:fill="auto"/>
                  <w:noWrap/>
                  <w:vAlign w:val="center"/>
                </w:tcPr>
                <w:p w14:paraId="427B1223">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10L</w:t>
                  </w:r>
                </w:p>
              </w:tc>
              <w:tc>
                <w:tcPr>
                  <w:tcW w:w="400" w:type="pct"/>
                  <w:shd w:val="clear" w:color="auto" w:fill="auto"/>
                  <w:noWrap/>
                  <w:vAlign w:val="center"/>
                </w:tcPr>
                <w:p w14:paraId="203DB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瓶</w:t>
                  </w:r>
                </w:p>
              </w:tc>
              <w:tc>
                <w:tcPr>
                  <w:tcW w:w="521" w:type="pct"/>
                  <w:shd w:val="clear" w:color="auto" w:fill="auto"/>
                  <w:noWrap/>
                  <w:vAlign w:val="center"/>
                </w:tcPr>
                <w:p w14:paraId="2D2C932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400</w:t>
                  </w:r>
                </w:p>
              </w:tc>
              <w:tc>
                <w:tcPr>
                  <w:tcW w:w="2666" w:type="pct"/>
                  <w:shd w:val="clear" w:color="auto" w:fill="auto"/>
                  <w:vAlign w:val="center"/>
                </w:tcPr>
                <w:p w14:paraId="069A9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 8982-2009《医用及航空呼吸用氧》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指标：氧气纯度≥99.5%（体积分数）；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水分含量≤0.07 g/m³；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一氧化碳、二氧化碳等杂质需符合医疗级限值</w:t>
                  </w:r>
                </w:p>
              </w:tc>
            </w:tr>
            <w:tr w14:paraId="58D7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65" w:type="pct"/>
                  <w:shd w:val="clear" w:color="auto" w:fill="auto"/>
                  <w:noWrap/>
                  <w:vAlign w:val="center"/>
                </w:tcPr>
                <w:p w14:paraId="67978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95" w:type="pct"/>
                  <w:shd w:val="clear" w:color="auto" w:fill="auto"/>
                  <w:noWrap/>
                  <w:vAlign w:val="center"/>
                </w:tcPr>
                <w:p w14:paraId="58BEB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医用氧气（瓶）</w:t>
                  </w:r>
                </w:p>
              </w:tc>
              <w:tc>
                <w:tcPr>
                  <w:tcW w:w="450" w:type="pct"/>
                  <w:shd w:val="clear" w:color="auto" w:fill="auto"/>
                  <w:noWrap/>
                  <w:vAlign w:val="center"/>
                </w:tcPr>
                <w:p w14:paraId="1DE8A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400" w:type="pct"/>
                  <w:shd w:val="clear" w:color="auto" w:fill="auto"/>
                  <w:noWrap/>
                  <w:vAlign w:val="center"/>
                </w:tcPr>
                <w:p w14:paraId="103BF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521" w:type="pct"/>
                  <w:shd w:val="clear" w:color="auto" w:fill="auto"/>
                  <w:noWrap/>
                  <w:vAlign w:val="center"/>
                </w:tcPr>
                <w:p w14:paraId="27C0D61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400</w:t>
                  </w:r>
                </w:p>
              </w:tc>
              <w:tc>
                <w:tcPr>
                  <w:tcW w:w="2666" w:type="pct"/>
                  <w:shd w:val="clear" w:color="auto" w:fill="auto"/>
                  <w:vAlign w:val="center"/>
                </w:tcPr>
                <w:p w14:paraId="0AA65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 8982-2009《医用及航空呼吸用氧》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指标：氧气纯度≥99.5%（体积分数）；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水分含量≤0.07 g/m³；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一氧化碳、二氧化碳等杂质需符合医疗级限值</w:t>
                  </w:r>
                </w:p>
              </w:tc>
            </w:tr>
            <w:tr w14:paraId="60E9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365" w:type="pct"/>
                  <w:shd w:val="clear" w:color="auto" w:fill="auto"/>
                  <w:noWrap/>
                  <w:vAlign w:val="center"/>
                </w:tcPr>
                <w:p w14:paraId="600198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595" w:type="pct"/>
                  <w:shd w:val="clear" w:color="auto" w:fill="auto"/>
                  <w:noWrap/>
                  <w:vAlign w:val="center"/>
                </w:tcPr>
                <w:p w14:paraId="0D1C0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高纯二氧化碳99.99%</w:t>
                  </w:r>
                </w:p>
              </w:tc>
              <w:tc>
                <w:tcPr>
                  <w:tcW w:w="450" w:type="pct"/>
                  <w:shd w:val="clear" w:color="auto" w:fill="auto"/>
                  <w:noWrap/>
                  <w:vAlign w:val="center"/>
                </w:tcPr>
                <w:p w14:paraId="21B99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400" w:type="pct"/>
                  <w:shd w:val="clear" w:color="auto" w:fill="auto"/>
                  <w:noWrap/>
                  <w:vAlign w:val="center"/>
                </w:tcPr>
                <w:p w14:paraId="1AE22C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521" w:type="pct"/>
                  <w:shd w:val="clear" w:color="auto" w:fill="auto"/>
                  <w:noWrap/>
                  <w:vAlign w:val="center"/>
                </w:tcPr>
                <w:p w14:paraId="657531F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50</w:t>
                  </w:r>
                </w:p>
              </w:tc>
              <w:tc>
                <w:tcPr>
                  <w:tcW w:w="2666" w:type="pct"/>
                  <w:shd w:val="clear" w:color="auto" w:fill="auto"/>
                  <w:vAlign w:val="center"/>
                </w:tcPr>
                <w:p w14:paraId="618F05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标准：GB/T 23938-2021《高纯二氧化碳》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纯度≥99.99%；</w:t>
                  </w:r>
                </w:p>
              </w:tc>
            </w:tr>
            <w:tr w14:paraId="2E86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365" w:type="pct"/>
                  <w:shd w:val="clear" w:color="auto" w:fill="auto"/>
                  <w:noWrap/>
                  <w:vAlign w:val="center"/>
                </w:tcPr>
                <w:p w14:paraId="1E2E6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595" w:type="pct"/>
                  <w:shd w:val="clear" w:color="auto" w:fill="auto"/>
                  <w:noWrap/>
                  <w:vAlign w:val="center"/>
                </w:tcPr>
                <w:p w14:paraId="5BCA1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高纯氩气</w:t>
                  </w:r>
                </w:p>
              </w:tc>
              <w:tc>
                <w:tcPr>
                  <w:tcW w:w="450" w:type="pct"/>
                  <w:shd w:val="clear" w:color="auto" w:fill="auto"/>
                  <w:noWrap/>
                  <w:vAlign w:val="center"/>
                </w:tcPr>
                <w:p w14:paraId="732D2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400" w:type="pct"/>
                  <w:shd w:val="clear" w:color="auto" w:fill="auto"/>
                  <w:noWrap/>
                  <w:vAlign w:val="center"/>
                </w:tcPr>
                <w:p w14:paraId="6A51C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521" w:type="pct"/>
                  <w:shd w:val="clear" w:color="auto" w:fill="auto"/>
                  <w:noWrap/>
                  <w:vAlign w:val="center"/>
                </w:tcPr>
                <w:p w14:paraId="68C3995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70</w:t>
                  </w:r>
                </w:p>
              </w:tc>
              <w:tc>
                <w:tcPr>
                  <w:tcW w:w="2666" w:type="pct"/>
                  <w:shd w:val="clear" w:color="auto" w:fill="auto"/>
                  <w:vAlign w:val="center"/>
                </w:tcPr>
                <w:p w14:paraId="6B7CFC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标准：GB/T 4842-2017《纯氩、高纯氩和超纯氩》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指标：普通氩气：纯度≥99.99%；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高纯氩气：纯度≥99.999%，氢、氧等杂质≤1 ppm。</w:t>
                  </w:r>
                </w:p>
              </w:tc>
            </w:tr>
            <w:tr w14:paraId="0FC6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65" w:type="pct"/>
                  <w:shd w:val="clear" w:color="auto" w:fill="auto"/>
                  <w:noWrap/>
                  <w:vAlign w:val="center"/>
                </w:tcPr>
                <w:p w14:paraId="246E9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595" w:type="pct"/>
                  <w:shd w:val="clear" w:color="auto" w:fill="auto"/>
                  <w:noWrap/>
                  <w:vAlign w:val="center"/>
                </w:tcPr>
                <w:p w14:paraId="5DE49E7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高纯乙炔</w:t>
                  </w:r>
                </w:p>
              </w:tc>
              <w:tc>
                <w:tcPr>
                  <w:tcW w:w="450" w:type="pct"/>
                  <w:shd w:val="clear" w:color="auto" w:fill="auto"/>
                  <w:noWrap/>
                  <w:vAlign w:val="center"/>
                </w:tcPr>
                <w:p w14:paraId="4D825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400" w:type="pct"/>
                  <w:shd w:val="clear" w:color="auto" w:fill="auto"/>
                  <w:noWrap/>
                  <w:vAlign w:val="center"/>
                </w:tcPr>
                <w:p w14:paraId="6BCE0E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瓶</w:t>
                  </w:r>
                </w:p>
              </w:tc>
              <w:tc>
                <w:tcPr>
                  <w:tcW w:w="521" w:type="pct"/>
                  <w:shd w:val="clear" w:color="auto" w:fill="auto"/>
                  <w:noWrap/>
                  <w:vAlign w:val="center"/>
                </w:tcPr>
                <w:p w14:paraId="6E713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5</w:t>
                  </w:r>
                </w:p>
              </w:tc>
              <w:tc>
                <w:tcPr>
                  <w:tcW w:w="2666" w:type="pct"/>
                  <w:shd w:val="clear" w:color="auto" w:fill="auto"/>
                  <w:vAlign w:val="center"/>
                </w:tcPr>
                <w:p w14:paraId="02E6C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标准:GB6819-2004</w:t>
                  </w:r>
                </w:p>
                <w:p w14:paraId="5F75F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纯度</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sz w:val="22"/>
                      <w:szCs w:val="22"/>
                      <w:highlight w:val="none"/>
                      <w:u w:val="none"/>
                    </w:rPr>
                    <w:t>99.9%</w:t>
                  </w:r>
                </w:p>
              </w:tc>
            </w:tr>
            <w:tr w14:paraId="257C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365" w:type="pct"/>
                  <w:shd w:val="clear" w:color="auto" w:fill="auto"/>
                  <w:noWrap/>
                  <w:vAlign w:val="center"/>
                </w:tcPr>
                <w:p w14:paraId="41C75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595" w:type="pct"/>
                  <w:shd w:val="clear" w:color="auto" w:fill="auto"/>
                  <w:noWrap/>
                  <w:vAlign w:val="center"/>
                </w:tcPr>
                <w:p w14:paraId="7052D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标准气</w:t>
                  </w:r>
                </w:p>
              </w:tc>
              <w:tc>
                <w:tcPr>
                  <w:tcW w:w="450" w:type="pct"/>
                  <w:shd w:val="clear" w:color="auto" w:fill="auto"/>
                  <w:noWrap/>
                  <w:vAlign w:val="center"/>
                </w:tcPr>
                <w:p w14:paraId="201CC7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400" w:type="pct"/>
                  <w:shd w:val="clear" w:color="auto" w:fill="auto"/>
                  <w:noWrap/>
                  <w:vAlign w:val="center"/>
                </w:tcPr>
                <w:p w14:paraId="53E66E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521" w:type="pct"/>
                  <w:shd w:val="clear" w:color="auto" w:fill="auto"/>
                  <w:noWrap/>
                  <w:vAlign w:val="center"/>
                </w:tcPr>
                <w:p w14:paraId="131C6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2666" w:type="pct"/>
                  <w:shd w:val="clear" w:color="auto" w:fill="auto"/>
                  <w:vAlign w:val="center"/>
                </w:tcPr>
                <w:p w14:paraId="31042D26">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主要成分（CH4</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0.30%，CO 0.</w:t>
                  </w:r>
                  <w:r>
                    <w:rPr>
                      <w:rFonts w:hint="eastAsia" w:ascii="宋体" w:hAnsi="宋体" w:cs="宋体"/>
                      <w:i w:val="0"/>
                      <w:iCs w:val="0"/>
                      <w:color w:val="000000"/>
                      <w:kern w:val="0"/>
                      <w:sz w:val="22"/>
                      <w:szCs w:val="22"/>
                      <w:highlight w:val="none"/>
                      <w:u w:val="none"/>
                      <w:lang w:val="en-US" w:eastAsia="zh-CN" w:bidi="ar"/>
                    </w:rPr>
                    <w:t>30</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C2H2 0.30%</w:t>
                  </w:r>
                </w:p>
                <w:p w14:paraId="4BA6D8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O2 21.</w:t>
                  </w:r>
                  <w:r>
                    <w:rPr>
                      <w:rFonts w:hint="eastAsia" w:ascii="宋体" w:hAnsi="宋体" w:cs="宋体"/>
                      <w:i w:val="0"/>
                      <w:iCs w:val="0"/>
                      <w:color w:val="000000"/>
                      <w:kern w:val="0"/>
                      <w:sz w:val="22"/>
                      <w:szCs w:val="22"/>
                      <w:highlight w:val="none"/>
                      <w:u w:val="none"/>
                      <w:lang w:val="en-US" w:eastAsia="zh-CN" w:bidi="ar"/>
                    </w:rPr>
                    <w:t>0</w:t>
                  </w:r>
                  <w:r>
                    <w:rPr>
                      <w:rFonts w:hint="eastAsia" w:ascii="宋体" w:hAnsi="宋体" w:eastAsia="宋体" w:cs="宋体"/>
                      <w:i w:val="0"/>
                      <w:iCs w:val="0"/>
                      <w:color w:val="000000"/>
                      <w:kern w:val="0"/>
                      <w:sz w:val="22"/>
                      <w:szCs w:val="22"/>
                      <w:highlight w:val="none"/>
                      <w:u w:val="none"/>
                      <w:lang w:val="en-US" w:eastAsia="zh-CN" w:bidi="ar"/>
                    </w:rPr>
                    <w:t>% ，N2平衡气）</w:t>
                  </w:r>
                </w:p>
                <w:p w14:paraId="76F8E960">
                  <w:pPr>
                    <w:keepNext w:val="0"/>
                    <w:keepLines w:val="0"/>
                    <w:widowControl/>
                    <w:suppressLineNumbers w:val="0"/>
                    <w:jc w:val="both"/>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压力：10MPa</w:t>
                  </w:r>
                </w:p>
                <w:p w14:paraId="5425B64E">
                  <w:pPr>
                    <w:keepNext w:val="0"/>
                    <w:keepLines w:val="0"/>
                    <w:widowControl/>
                    <w:suppressLineNumbers w:val="0"/>
                    <w:jc w:val="both"/>
                    <w:textAlignment w:val="center"/>
                    <w:rPr>
                      <w:rFonts w:hint="default" w:ascii="宋体" w:hAnsi="宋体" w:cs="宋体"/>
                      <w:i w:val="0"/>
                      <w:iCs w:val="0"/>
                      <w:color w:val="000000"/>
                      <w:kern w:val="0"/>
                      <w:sz w:val="22"/>
                      <w:szCs w:val="22"/>
                      <w:highlight w:val="none"/>
                      <w:u w:val="none"/>
                      <w:lang w:val="en-US" w:eastAsia="zh-CN" w:bidi="ar"/>
                    </w:rPr>
                  </w:pPr>
                  <w:r>
                    <w:rPr>
                      <w:rFonts w:hint="default" w:ascii="宋体" w:hAnsi="宋体" w:cs="宋体"/>
                      <w:i w:val="0"/>
                      <w:iCs w:val="0"/>
                      <w:color w:val="000000"/>
                      <w:kern w:val="0"/>
                      <w:sz w:val="22"/>
                      <w:szCs w:val="22"/>
                      <w:highlight w:val="none"/>
                      <w:u w:val="none"/>
                      <w:lang w:val="en-US" w:eastAsia="zh-CN" w:bidi="ar"/>
                    </w:rPr>
                    <w:t xml:space="preserve">标准：GB/T 5274-2023  </w:t>
                  </w:r>
                </w:p>
              </w:tc>
            </w:tr>
            <w:tr w14:paraId="2225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65" w:type="pct"/>
                  <w:shd w:val="clear" w:color="auto" w:fill="auto"/>
                  <w:noWrap/>
                  <w:vAlign w:val="center"/>
                </w:tcPr>
                <w:p w14:paraId="0C866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7</w:t>
                  </w:r>
                </w:p>
              </w:tc>
              <w:tc>
                <w:tcPr>
                  <w:tcW w:w="595" w:type="pct"/>
                  <w:shd w:val="clear" w:color="auto" w:fill="auto"/>
                  <w:noWrap/>
                  <w:vAlign w:val="center"/>
                </w:tcPr>
                <w:p w14:paraId="4A603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普通氩气</w:t>
                  </w:r>
                </w:p>
              </w:tc>
              <w:tc>
                <w:tcPr>
                  <w:tcW w:w="450" w:type="pct"/>
                  <w:shd w:val="clear" w:color="auto" w:fill="auto"/>
                  <w:noWrap/>
                  <w:vAlign w:val="center"/>
                </w:tcPr>
                <w:p w14:paraId="0DEA2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400" w:type="pct"/>
                  <w:shd w:val="clear" w:color="auto" w:fill="auto"/>
                  <w:noWrap/>
                  <w:vAlign w:val="center"/>
                </w:tcPr>
                <w:p w14:paraId="7DF33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521" w:type="pct"/>
                  <w:shd w:val="clear" w:color="auto" w:fill="auto"/>
                  <w:noWrap/>
                  <w:vAlign w:val="center"/>
                </w:tcPr>
                <w:p w14:paraId="6CDC0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2</w:t>
                  </w:r>
                </w:p>
              </w:tc>
              <w:tc>
                <w:tcPr>
                  <w:tcW w:w="2666" w:type="pct"/>
                  <w:shd w:val="clear" w:color="auto" w:fill="auto"/>
                  <w:vAlign w:val="center"/>
                </w:tcPr>
                <w:p w14:paraId="1A6232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标准：GB/T 4842-2017《纯氩、高纯氩和超纯氩》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指标：普通氩气：纯度≥99.99%；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高纯氩气：纯度≥99.999%，氢、氧等杂质≤1 ppm。</w:t>
                  </w:r>
                </w:p>
              </w:tc>
            </w:tr>
          </w:tbl>
          <w:p w14:paraId="17D6A8B1">
            <w:pPr>
              <w:numPr>
                <w:ilvl w:val="0"/>
                <w:numId w:val="0"/>
              </w:numPr>
              <w:ind w:leftChars="0"/>
              <w:rPr>
                <w:rFonts w:hint="eastAsia"/>
                <w:b/>
                <w:bCs/>
                <w:highlight w:val="none"/>
                <w:lang w:val="en-US" w:eastAsia="zh-CN"/>
              </w:rPr>
            </w:pPr>
          </w:p>
          <w:p w14:paraId="4C919282">
            <w:pPr>
              <w:numPr>
                <w:ilvl w:val="0"/>
                <w:numId w:val="0"/>
              </w:numPr>
              <w:ind w:leftChars="0"/>
              <w:rPr>
                <w:rFonts w:hint="default"/>
                <w:b/>
                <w:bCs/>
                <w:highlight w:val="none"/>
                <w:lang w:val="en-US" w:eastAsia="zh-CN"/>
              </w:rPr>
            </w:pPr>
            <w:r>
              <w:rPr>
                <w:rFonts w:hint="eastAsia"/>
                <w:b/>
                <w:bCs/>
                <w:highlight w:val="none"/>
                <w:lang w:val="en-US" w:eastAsia="zh-CN"/>
              </w:rPr>
              <w:t>三、其他要求</w:t>
            </w:r>
          </w:p>
          <w:p w14:paraId="71CEC7F3">
            <w:pPr>
              <w:pStyle w:val="5"/>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b/>
                <w:bCs/>
                <w:highlight w:val="none"/>
                <w:lang w:val="en-US" w:eastAsia="zh-CN"/>
              </w:rPr>
            </w:pPr>
            <w:r>
              <w:rPr>
                <w:rFonts w:hint="eastAsia"/>
                <w:b w:val="0"/>
                <w:bCs w:val="0"/>
                <w:color w:val="auto"/>
                <w:sz w:val="21"/>
                <w:szCs w:val="21"/>
                <w:highlight w:val="none"/>
                <w:lang w:val="en-US" w:eastAsia="zh-CN"/>
              </w:rPr>
              <w:t>1、</w:t>
            </w:r>
            <w:r>
              <w:rPr>
                <w:rFonts w:hint="eastAsia"/>
                <w:highlight w:val="none"/>
                <w:lang w:val="en-US" w:eastAsia="zh-CN"/>
              </w:rPr>
              <w:t>供应商</w:t>
            </w:r>
            <w:r>
              <w:rPr>
                <w:rFonts w:hint="eastAsia"/>
                <w:b w:val="0"/>
                <w:bCs w:val="0"/>
                <w:color w:val="auto"/>
                <w:sz w:val="21"/>
                <w:szCs w:val="21"/>
                <w:highlight w:val="none"/>
                <w:lang w:val="en-US" w:eastAsia="zh-CN"/>
              </w:rPr>
              <w:t>所提供的投标产品全部涵盖项目清单中的所有项目，必须是合格的、未曾使用过的全新产品，所采用的原料优良、质量上乘，原材料、辅料、成品均须符合相应的国家标准和行业标准的要求，如相关标准有更新、按最新标准执行。</w:t>
            </w:r>
          </w:p>
          <w:p w14:paraId="60044224">
            <w:pPr>
              <w:pStyle w:val="5"/>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2、</w:t>
            </w:r>
            <w:r>
              <w:rPr>
                <w:rFonts w:hint="eastAsia"/>
                <w:highlight w:val="none"/>
                <w:lang w:val="en-US" w:eastAsia="zh-CN"/>
              </w:rPr>
              <w:t>供应商</w:t>
            </w:r>
            <w:r>
              <w:rPr>
                <w:rFonts w:hint="eastAsia"/>
                <w:color w:val="auto"/>
                <w:sz w:val="21"/>
                <w:szCs w:val="21"/>
                <w:highlight w:val="none"/>
                <w:lang w:val="en-US" w:eastAsia="zh-CN"/>
              </w:rPr>
              <w:t>负责提供的服务</w:t>
            </w:r>
            <w:r>
              <w:rPr>
                <w:rFonts w:hint="default"/>
                <w:color w:val="auto"/>
                <w:sz w:val="21"/>
                <w:szCs w:val="21"/>
                <w:highlight w:val="none"/>
                <w:lang w:val="en-US" w:eastAsia="zh-CN"/>
              </w:rPr>
              <w:t>包含</w:t>
            </w:r>
            <w:r>
              <w:rPr>
                <w:rFonts w:hint="eastAsia"/>
                <w:color w:val="auto"/>
                <w:sz w:val="21"/>
                <w:szCs w:val="21"/>
                <w:highlight w:val="none"/>
                <w:lang w:val="en-US" w:eastAsia="zh-CN"/>
              </w:rPr>
              <w:t>：</w:t>
            </w:r>
            <w:r>
              <w:rPr>
                <w:rFonts w:hint="default"/>
                <w:color w:val="auto"/>
                <w:sz w:val="21"/>
                <w:szCs w:val="21"/>
                <w:highlight w:val="none"/>
                <w:lang w:val="en-US" w:eastAsia="zh-CN"/>
              </w:rPr>
              <w:t>医用瓶装气体的充装、搬运、运输、送货上门、人工装卸</w:t>
            </w:r>
            <w:r>
              <w:rPr>
                <w:rFonts w:hint="eastAsia"/>
                <w:color w:val="auto"/>
                <w:sz w:val="21"/>
                <w:szCs w:val="21"/>
                <w:highlight w:val="none"/>
                <w:lang w:val="en-US" w:eastAsia="zh-CN"/>
              </w:rPr>
              <w:t>、</w:t>
            </w:r>
            <w:r>
              <w:rPr>
                <w:rFonts w:hint="default"/>
                <w:color w:val="auto"/>
                <w:sz w:val="21"/>
                <w:szCs w:val="21"/>
                <w:highlight w:val="none"/>
                <w:lang w:val="en-US" w:eastAsia="zh-CN"/>
              </w:rPr>
              <w:t>技术支持与售后服务</w:t>
            </w:r>
            <w:r>
              <w:rPr>
                <w:rFonts w:hint="eastAsia"/>
                <w:color w:val="auto"/>
                <w:sz w:val="21"/>
                <w:szCs w:val="21"/>
                <w:highlight w:val="none"/>
                <w:lang w:val="en-US" w:eastAsia="zh-CN"/>
              </w:rPr>
              <w:t>。供应商自行配置相应的运输、配送工具及送货人员，</w:t>
            </w:r>
            <w:r>
              <w:rPr>
                <w:rFonts w:hint="default"/>
                <w:color w:val="auto"/>
                <w:sz w:val="21"/>
                <w:szCs w:val="21"/>
                <w:highlight w:val="none"/>
                <w:lang w:val="en-US" w:eastAsia="zh-CN"/>
              </w:rPr>
              <w:t>所有产品的运输安全均由</w:t>
            </w:r>
            <w:r>
              <w:rPr>
                <w:rFonts w:hint="eastAsia"/>
                <w:highlight w:val="none"/>
                <w:lang w:val="en-US" w:eastAsia="zh-CN"/>
              </w:rPr>
              <w:t>供应商</w:t>
            </w:r>
            <w:r>
              <w:rPr>
                <w:rFonts w:hint="default"/>
                <w:color w:val="auto"/>
                <w:sz w:val="21"/>
                <w:szCs w:val="21"/>
                <w:highlight w:val="none"/>
                <w:lang w:val="en-US" w:eastAsia="zh-CN"/>
              </w:rPr>
              <w:t>负责</w:t>
            </w:r>
            <w:r>
              <w:rPr>
                <w:rFonts w:hint="eastAsia"/>
                <w:color w:val="auto"/>
                <w:sz w:val="21"/>
                <w:szCs w:val="21"/>
                <w:highlight w:val="none"/>
                <w:lang w:val="en-US" w:eastAsia="zh-CN"/>
              </w:rPr>
              <w:t>。如国家对此类产品的运输、储存、中转、装卸有特殊要求的，供应商负责办理相关手续并承担一切费用。</w:t>
            </w:r>
          </w:p>
          <w:p w14:paraId="107829F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宋体" w:hAnsi="Courier New" w:eastAsia="宋体" w:cs="Times New Roman"/>
                <w:color w:val="auto"/>
                <w:kern w:val="0"/>
                <w:sz w:val="21"/>
                <w:szCs w:val="21"/>
                <w:highlight w:val="none"/>
                <w:lang w:val="en-US" w:eastAsia="zh-CN" w:bidi="ar-SA"/>
              </w:rPr>
            </w:pPr>
            <w:r>
              <w:rPr>
                <w:rFonts w:hint="eastAsia" w:ascii="宋体" w:hAnsi="Courier New" w:cs="Times New Roman"/>
                <w:color w:val="auto"/>
                <w:kern w:val="0"/>
                <w:sz w:val="21"/>
                <w:szCs w:val="21"/>
                <w:highlight w:val="none"/>
                <w:lang w:val="en-US" w:eastAsia="zh-CN" w:bidi="ar-SA"/>
              </w:rPr>
              <w:t>3</w:t>
            </w:r>
            <w:r>
              <w:rPr>
                <w:rFonts w:hint="default" w:ascii="宋体" w:hAnsi="Courier New" w:eastAsia="宋体" w:cs="Times New Roman"/>
                <w:color w:val="auto"/>
                <w:kern w:val="0"/>
                <w:sz w:val="21"/>
                <w:szCs w:val="21"/>
                <w:highlight w:val="none"/>
                <w:lang w:val="en-US" w:eastAsia="zh-CN" w:bidi="ar-SA"/>
              </w:rPr>
              <w:t>、如因</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供货不及时或成交货物质量不合格发生的事故，使</w:t>
            </w:r>
            <w:r>
              <w:rPr>
                <w:rFonts w:hint="eastAsia" w:ascii="宋体" w:hAnsi="Courier New" w:cs="Times New Roman"/>
                <w:color w:val="auto"/>
                <w:kern w:val="0"/>
                <w:sz w:val="21"/>
                <w:szCs w:val="21"/>
                <w:highlight w:val="none"/>
                <w:lang w:val="en-US" w:eastAsia="zh-CN" w:bidi="ar-SA"/>
              </w:rPr>
              <w:t>采购人</w:t>
            </w:r>
            <w:r>
              <w:rPr>
                <w:rFonts w:hint="default" w:ascii="宋体" w:hAnsi="Courier New" w:eastAsia="宋体" w:cs="Times New Roman"/>
                <w:color w:val="auto"/>
                <w:kern w:val="0"/>
                <w:sz w:val="21"/>
                <w:szCs w:val="21"/>
                <w:highlight w:val="none"/>
                <w:lang w:val="en-US" w:eastAsia="zh-CN" w:bidi="ar-SA"/>
              </w:rPr>
              <w:t>遭受损失的，</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应承担一切责任，并赔偿损失。</w:t>
            </w:r>
          </w:p>
          <w:p w14:paraId="20E13B0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宋体" w:hAnsi="Courier New" w:eastAsia="宋体" w:cs="Times New Roman"/>
                <w:color w:val="auto"/>
                <w:kern w:val="0"/>
                <w:sz w:val="21"/>
                <w:szCs w:val="21"/>
                <w:highlight w:val="none"/>
                <w:lang w:val="en-US" w:eastAsia="zh-CN" w:bidi="ar-SA"/>
              </w:rPr>
            </w:pPr>
            <w:r>
              <w:rPr>
                <w:rFonts w:hint="eastAsia" w:ascii="宋体" w:hAnsi="Courier New" w:cs="Times New Roman"/>
                <w:color w:val="auto"/>
                <w:kern w:val="0"/>
                <w:sz w:val="21"/>
                <w:szCs w:val="21"/>
                <w:highlight w:val="none"/>
                <w:lang w:val="en-US" w:eastAsia="zh-CN" w:bidi="ar-SA"/>
              </w:rPr>
              <w:t>4</w:t>
            </w:r>
            <w:r>
              <w:rPr>
                <w:rFonts w:hint="default" w:ascii="宋体" w:hAnsi="Courier New" w:eastAsia="宋体" w:cs="Times New Roman"/>
                <w:color w:val="auto"/>
                <w:kern w:val="0"/>
                <w:sz w:val="21"/>
                <w:szCs w:val="21"/>
                <w:highlight w:val="none"/>
                <w:lang w:val="en-US" w:eastAsia="zh-CN" w:bidi="ar-SA"/>
              </w:rPr>
              <w:t>、</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负责充装气瓶</w:t>
            </w:r>
            <w:r>
              <w:rPr>
                <w:rFonts w:hint="eastAsia" w:ascii="宋体" w:hAnsi="Courier New" w:cs="Times New Roman"/>
                <w:color w:val="auto"/>
                <w:kern w:val="0"/>
                <w:sz w:val="21"/>
                <w:szCs w:val="21"/>
                <w:highlight w:val="none"/>
                <w:lang w:val="en-US" w:eastAsia="zh-CN" w:bidi="ar-SA"/>
              </w:rPr>
              <w:t>的</w:t>
            </w:r>
            <w:r>
              <w:rPr>
                <w:rFonts w:hint="default" w:ascii="宋体" w:hAnsi="Courier New" w:eastAsia="宋体" w:cs="Times New Roman"/>
                <w:color w:val="auto"/>
                <w:kern w:val="0"/>
                <w:sz w:val="21"/>
                <w:szCs w:val="21"/>
                <w:highlight w:val="none"/>
                <w:lang w:val="en-US" w:eastAsia="zh-CN" w:bidi="ar-SA"/>
              </w:rPr>
              <w:t>保养和定期检验，并提供相应检测报告给</w:t>
            </w:r>
            <w:r>
              <w:rPr>
                <w:rFonts w:hint="eastAsia" w:ascii="宋体" w:hAnsi="Courier New" w:cs="Times New Roman"/>
                <w:color w:val="auto"/>
                <w:kern w:val="0"/>
                <w:sz w:val="21"/>
                <w:szCs w:val="21"/>
                <w:highlight w:val="none"/>
                <w:lang w:val="en-US" w:eastAsia="zh-CN" w:bidi="ar-SA"/>
              </w:rPr>
              <w:t>采购人</w:t>
            </w:r>
            <w:r>
              <w:rPr>
                <w:rFonts w:hint="default" w:ascii="宋体" w:hAnsi="Courier New" w:eastAsia="宋体" w:cs="Times New Roman"/>
                <w:color w:val="auto"/>
                <w:kern w:val="0"/>
                <w:sz w:val="21"/>
                <w:szCs w:val="21"/>
                <w:highlight w:val="none"/>
                <w:lang w:val="en-US" w:eastAsia="zh-CN" w:bidi="ar-SA"/>
              </w:rPr>
              <w:t>存档，保证</w:t>
            </w:r>
            <w:r>
              <w:rPr>
                <w:rFonts w:hint="eastAsia" w:ascii="宋体" w:hAnsi="Courier New" w:cs="Times New Roman"/>
                <w:color w:val="auto"/>
                <w:kern w:val="0"/>
                <w:sz w:val="21"/>
                <w:szCs w:val="21"/>
                <w:highlight w:val="none"/>
                <w:lang w:val="en-US" w:eastAsia="zh-CN" w:bidi="ar-SA"/>
              </w:rPr>
              <w:t>气瓶及配套设施在使用期间</w:t>
            </w:r>
            <w:r>
              <w:rPr>
                <w:rFonts w:hint="default" w:ascii="宋体" w:hAnsi="Courier New" w:eastAsia="宋体" w:cs="Times New Roman"/>
                <w:color w:val="auto"/>
                <w:kern w:val="0"/>
                <w:sz w:val="21"/>
                <w:szCs w:val="21"/>
                <w:highlight w:val="none"/>
                <w:lang w:val="en-US" w:eastAsia="zh-CN" w:bidi="ar-SA"/>
              </w:rPr>
              <w:t>符合特种设备相关法规要求。如因</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未按要求对</w:t>
            </w:r>
            <w:r>
              <w:rPr>
                <w:rFonts w:hint="eastAsia" w:ascii="宋体" w:hAnsi="Courier New" w:cs="Times New Roman"/>
                <w:color w:val="auto"/>
                <w:kern w:val="0"/>
                <w:sz w:val="21"/>
                <w:szCs w:val="21"/>
                <w:highlight w:val="none"/>
                <w:lang w:val="en-US" w:eastAsia="zh-CN" w:bidi="ar-SA"/>
              </w:rPr>
              <w:t>气瓶及配套设施</w:t>
            </w:r>
            <w:r>
              <w:rPr>
                <w:rFonts w:hint="default" w:ascii="宋体" w:hAnsi="Courier New" w:eastAsia="宋体" w:cs="Times New Roman"/>
                <w:color w:val="auto"/>
                <w:kern w:val="0"/>
                <w:sz w:val="21"/>
                <w:szCs w:val="21"/>
                <w:highlight w:val="none"/>
                <w:lang w:val="en-US" w:eastAsia="zh-CN" w:bidi="ar-SA"/>
              </w:rPr>
              <w:t>进行维修维护和定期检测而发生安全生产事故的，</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应承担一切责任，并赔偿损失。</w:t>
            </w:r>
          </w:p>
          <w:p w14:paraId="687986B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宋体" w:hAnsi="Courier New" w:eastAsia="宋体" w:cs="Times New Roman"/>
                <w:color w:val="auto"/>
                <w:kern w:val="0"/>
                <w:sz w:val="21"/>
                <w:szCs w:val="21"/>
                <w:highlight w:val="none"/>
                <w:lang w:val="en-US" w:eastAsia="zh-CN" w:bidi="ar-SA"/>
              </w:rPr>
            </w:pPr>
            <w:r>
              <w:rPr>
                <w:rFonts w:hint="eastAsia" w:ascii="宋体" w:hAnsi="Courier New" w:cs="Times New Roman"/>
                <w:color w:val="auto"/>
                <w:kern w:val="0"/>
                <w:sz w:val="21"/>
                <w:szCs w:val="21"/>
                <w:highlight w:val="none"/>
                <w:lang w:val="en-US" w:eastAsia="zh-CN" w:bidi="ar-SA"/>
              </w:rPr>
              <w:t>5</w:t>
            </w:r>
            <w:r>
              <w:rPr>
                <w:rFonts w:hint="default" w:ascii="宋体" w:hAnsi="Courier New" w:eastAsia="宋体" w:cs="Times New Roman"/>
                <w:color w:val="auto"/>
                <w:kern w:val="0"/>
                <w:sz w:val="21"/>
                <w:szCs w:val="21"/>
                <w:highlight w:val="none"/>
                <w:lang w:val="en-US" w:eastAsia="zh-CN" w:bidi="ar-SA"/>
              </w:rPr>
              <w:t>、</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负责提供每年 1-2 次对院方相关人员的安全培训。</w:t>
            </w:r>
          </w:p>
          <w:p w14:paraId="510AE80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highlight w:val="none"/>
                <w:lang w:val="en-US" w:eastAsia="zh-CN"/>
              </w:rPr>
            </w:pPr>
            <w:r>
              <w:rPr>
                <w:rFonts w:hint="eastAsia" w:ascii="宋体" w:hAnsi="Courier New" w:cs="Times New Roman"/>
                <w:color w:val="auto"/>
                <w:kern w:val="0"/>
                <w:sz w:val="21"/>
                <w:szCs w:val="21"/>
                <w:highlight w:val="none"/>
                <w:lang w:val="en-US" w:eastAsia="zh-CN" w:bidi="ar-SA"/>
              </w:rPr>
              <w:t>6</w:t>
            </w:r>
            <w:r>
              <w:rPr>
                <w:rFonts w:hint="default" w:ascii="宋体" w:hAnsi="Courier New" w:eastAsia="宋体" w:cs="Times New Roman"/>
                <w:color w:val="auto"/>
                <w:kern w:val="0"/>
                <w:sz w:val="21"/>
                <w:szCs w:val="21"/>
                <w:highlight w:val="none"/>
                <w:lang w:val="en-US" w:eastAsia="zh-CN" w:bidi="ar-SA"/>
              </w:rPr>
              <w:t>、</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负责协助</w:t>
            </w:r>
            <w:r>
              <w:rPr>
                <w:rFonts w:hint="eastAsia" w:ascii="宋体" w:hAnsi="Courier New" w:cs="Times New Roman"/>
                <w:color w:val="auto"/>
                <w:kern w:val="0"/>
                <w:sz w:val="21"/>
                <w:szCs w:val="21"/>
                <w:highlight w:val="none"/>
                <w:lang w:val="en-US" w:eastAsia="zh-CN" w:bidi="ar-SA"/>
              </w:rPr>
              <w:t>采购人</w:t>
            </w:r>
            <w:r>
              <w:rPr>
                <w:rFonts w:hint="default" w:ascii="宋体" w:hAnsi="Courier New" w:eastAsia="宋体" w:cs="Times New Roman"/>
                <w:color w:val="auto"/>
                <w:kern w:val="0"/>
                <w:sz w:val="21"/>
                <w:szCs w:val="21"/>
                <w:highlight w:val="none"/>
                <w:lang w:val="en-US" w:eastAsia="zh-CN" w:bidi="ar-SA"/>
              </w:rPr>
              <w:t>每年度进行至少 1 次压力容器安全应急演练。</w:t>
            </w:r>
          </w:p>
        </w:tc>
        <w:tc>
          <w:tcPr>
            <w:tcW w:w="452" w:type="pct"/>
            <w:noWrap w:val="0"/>
            <w:vAlign w:val="center"/>
          </w:tcPr>
          <w:p w14:paraId="49A593C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Courier New" w:cs="Times New Roman"/>
                <w:color w:val="auto"/>
                <w:kern w:val="0"/>
                <w:sz w:val="21"/>
                <w:szCs w:val="21"/>
                <w:highlight w:val="none"/>
                <w:lang w:val="en-US" w:eastAsia="zh-CN" w:bidi="ar-SA"/>
              </w:rPr>
            </w:pPr>
          </w:p>
        </w:tc>
      </w:tr>
      <w:tr w14:paraId="684A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47" w:type="pct"/>
            <w:gridSpan w:val="4"/>
            <w:noWrap w:val="0"/>
            <w:vAlign w:val="center"/>
          </w:tcPr>
          <w:p w14:paraId="14028B86">
            <w:pPr>
              <w:numPr>
                <w:ilvl w:val="0"/>
                <w:numId w:val="0"/>
              </w:numPr>
              <w:ind w:leftChars="0"/>
              <w:rPr>
                <w:rFonts w:hint="default"/>
                <w:highlight w:val="none"/>
                <w:lang w:val="en-US" w:eastAsia="zh-CN"/>
              </w:rPr>
            </w:pPr>
            <w:r>
              <w:rPr>
                <w:rFonts w:hint="eastAsia" w:ascii="宋体" w:hAnsi="宋体" w:cs="宋体"/>
                <w:b/>
                <w:bCs/>
                <w:kern w:val="0"/>
                <w:szCs w:val="21"/>
              </w:rPr>
              <w:t>▲</w:t>
            </w:r>
            <w:r>
              <w:rPr>
                <w:rFonts w:hint="eastAsia"/>
                <w:highlight w:val="none"/>
                <w:lang w:val="en-US" w:eastAsia="zh-CN"/>
              </w:rPr>
              <w:t>商务要求</w:t>
            </w:r>
          </w:p>
        </w:tc>
        <w:tc>
          <w:tcPr>
            <w:tcW w:w="452" w:type="pct"/>
            <w:noWrap w:val="0"/>
            <w:vAlign w:val="center"/>
          </w:tcPr>
          <w:p w14:paraId="03FCB60C">
            <w:pPr>
              <w:numPr>
                <w:ilvl w:val="0"/>
                <w:numId w:val="0"/>
              </w:numPr>
              <w:ind w:leftChars="0"/>
              <w:rPr>
                <w:rFonts w:hint="eastAsia" w:ascii="宋体" w:hAnsi="宋体" w:cs="宋体"/>
                <w:b/>
                <w:bCs/>
                <w:kern w:val="0"/>
                <w:szCs w:val="21"/>
              </w:rPr>
            </w:pPr>
          </w:p>
        </w:tc>
      </w:tr>
      <w:tr w14:paraId="563EF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1" w:hRule="atLeast"/>
        </w:trPr>
        <w:tc>
          <w:tcPr>
            <w:tcW w:w="515" w:type="pct"/>
            <w:gridSpan w:val="3"/>
            <w:noWrap w:val="0"/>
            <w:vAlign w:val="center"/>
          </w:tcPr>
          <w:p w14:paraId="6EE18DF7">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报价要求</w:t>
            </w:r>
          </w:p>
        </w:tc>
        <w:tc>
          <w:tcPr>
            <w:tcW w:w="4031" w:type="pct"/>
            <w:noWrap w:val="0"/>
            <w:vAlign w:val="center"/>
          </w:tcPr>
          <w:p w14:paraId="674DE510">
            <w:pPr>
              <w:numPr>
                <w:ilvl w:val="0"/>
                <w:numId w:val="0"/>
              </w:numPr>
              <w:ind w:leftChars="0"/>
              <w:rPr>
                <w:rFonts w:hint="eastAsia"/>
                <w:highlight w:val="none"/>
                <w:lang w:val="en-US" w:eastAsia="zh-CN"/>
              </w:rPr>
            </w:pPr>
            <w:r>
              <w:rPr>
                <w:rFonts w:hint="eastAsia"/>
                <w:highlight w:val="none"/>
                <w:lang w:val="en-US" w:eastAsia="zh-CN"/>
              </w:rPr>
              <w:t>1、投标人须对本项目涉及的医用瓶装气体做出单项报价，详见技术参数  二、采购清单。竞标供应商的投标总报价≤采购预算。</w:t>
            </w:r>
          </w:p>
          <w:p w14:paraId="0543323E">
            <w:pPr>
              <w:numPr>
                <w:ilvl w:val="0"/>
                <w:numId w:val="0"/>
              </w:numPr>
              <w:ind w:leftChars="0"/>
              <w:rPr>
                <w:rFonts w:hint="default"/>
                <w:lang w:val="en-US" w:eastAsia="zh-CN"/>
              </w:rPr>
            </w:pPr>
            <w:r>
              <w:rPr>
                <w:rFonts w:hint="eastAsia"/>
                <w:highlight w:val="none"/>
                <w:lang w:val="en-US" w:eastAsia="zh-CN"/>
              </w:rPr>
              <w:t>2、</w:t>
            </w:r>
            <w:r>
              <w:rPr>
                <w:rFonts w:hint="default"/>
                <w:highlight w:val="none"/>
                <w:lang w:val="en-US" w:eastAsia="zh-CN"/>
              </w:rPr>
              <w:t>报价包括货物的价款、产品的包装、</w:t>
            </w:r>
            <w:r>
              <w:rPr>
                <w:rFonts w:hint="eastAsia"/>
                <w:highlight w:val="none"/>
                <w:lang w:val="en-US" w:eastAsia="zh-CN"/>
              </w:rPr>
              <w:t>充装、</w:t>
            </w:r>
            <w:r>
              <w:rPr>
                <w:rFonts w:hint="default"/>
                <w:highlight w:val="none"/>
                <w:lang w:val="en-US" w:eastAsia="zh-CN"/>
              </w:rPr>
              <w:t>运输、装卸费、人工、辅材、杂配件</w:t>
            </w:r>
            <w:r>
              <w:rPr>
                <w:rFonts w:hint="eastAsia"/>
                <w:highlight w:val="none"/>
                <w:lang w:val="en-US" w:eastAsia="zh-CN"/>
              </w:rPr>
              <w:t>、</w:t>
            </w:r>
            <w:r>
              <w:rPr>
                <w:rFonts w:hint="default"/>
                <w:highlight w:val="none"/>
                <w:lang w:val="en-US" w:eastAsia="zh-CN"/>
              </w:rPr>
              <w:t>保险、管理服务成本、法定税费和利润等一切应尽费用，成交后采购人不再另行支付额外费用。</w:t>
            </w:r>
            <w:r>
              <w:rPr>
                <w:rFonts w:hint="eastAsia"/>
                <w:highlight w:val="none"/>
                <w:lang w:val="en-US" w:eastAsia="zh-CN"/>
              </w:rPr>
              <w:t>（提示：供应商报价时应充分考虑各项投标成本、税金等与本项目相关的一切费用，以及未来市场价格变动等风险）</w:t>
            </w:r>
          </w:p>
        </w:tc>
        <w:tc>
          <w:tcPr>
            <w:tcW w:w="452" w:type="pct"/>
            <w:noWrap w:val="0"/>
            <w:vAlign w:val="center"/>
          </w:tcPr>
          <w:p w14:paraId="4FF44384">
            <w:pPr>
              <w:numPr>
                <w:ilvl w:val="0"/>
                <w:numId w:val="0"/>
              </w:numPr>
              <w:ind w:leftChars="0"/>
              <w:rPr>
                <w:rFonts w:hint="eastAsia"/>
                <w:highlight w:val="none"/>
                <w:lang w:val="en-US" w:eastAsia="zh-CN"/>
              </w:rPr>
            </w:pPr>
          </w:p>
        </w:tc>
      </w:tr>
      <w:tr w14:paraId="7A9B8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5" w:type="pct"/>
            <w:gridSpan w:val="3"/>
            <w:noWrap w:val="0"/>
            <w:vAlign w:val="center"/>
          </w:tcPr>
          <w:p w14:paraId="75E2DAC7">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交货期</w:t>
            </w:r>
          </w:p>
        </w:tc>
        <w:tc>
          <w:tcPr>
            <w:tcW w:w="4031" w:type="pct"/>
            <w:noWrap w:val="0"/>
            <w:vAlign w:val="center"/>
          </w:tcPr>
          <w:p w14:paraId="0DFF6F6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eastAsia="宋体"/>
                <w:highlight w:val="none"/>
                <w:lang w:val="en-US" w:eastAsia="zh-CN"/>
              </w:rPr>
            </w:pPr>
            <w:r>
              <w:rPr>
                <w:rFonts w:hint="eastAsia" w:eastAsia="宋体"/>
                <w:highlight w:val="none"/>
                <w:lang w:val="en-US" w:eastAsia="zh-CN"/>
              </w:rPr>
              <w:t>1、交货期：</w:t>
            </w:r>
            <w:r>
              <w:rPr>
                <w:rFonts w:hint="eastAsia"/>
                <w:color w:val="auto"/>
                <w:highlight w:val="none"/>
                <w:lang w:val="en-US" w:eastAsia="zh-CN"/>
              </w:rPr>
              <w:t>采购人不提供储存场地。</w:t>
            </w:r>
            <w:r>
              <w:rPr>
                <w:rFonts w:hint="eastAsia" w:eastAsia="宋体"/>
                <w:highlight w:val="none"/>
                <w:lang w:val="en-US" w:eastAsia="zh-CN"/>
              </w:rPr>
              <w:t>根据采购人需求分批送货，</w:t>
            </w:r>
            <w:r>
              <w:rPr>
                <w:rFonts w:hint="eastAsia"/>
                <w:highlight w:val="none"/>
                <w:lang w:val="en-US" w:eastAsia="zh-CN"/>
              </w:rPr>
              <w:t>供应商</w:t>
            </w:r>
            <w:r>
              <w:rPr>
                <w:rFonts w:hint="eastAsia" w:eastAsia="宋体"/>
                <w:highlight w:val="none"/>
                <w:lang w:val="en-US" w:eastAsia="zh-CN"/>
              </w:rPr>
              <w:t>在接到采购人通知后24小时内完成供货。如接到采购人的紧急需求，</w:t>
            </w:r>
            <w:r>
              <w:rPr>
                <w:rFonts w:hint="eastAsia"/>
                <w:highlight w:val="none"/>
                <w:lang w:val="en-US" w:eastAsia="zh-CN"/>
              </w:rPr>
              <w:t>1</w:t>
            </w:r>
            <w:r>
              <w:rPr>
                <w:rFonts w:hint="eastAsia" w:eastAsia="宋体"/>
                <w:highlight w:val="none"/>
                <w:lang w:val="en-US" w:eastAsia="zh-CN"/>
              </w:rPr>
              <w:t>小时内将满足应急供应量的指定规格气体送达指定地点，并根据实际情况提供不间断的持续供给。</w:t>
            </w:r>
          </w:p>
          <w:p w14:paraId="2C15ED3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highlight w:val="none"/>
                <w:lang w:val="en-US" w:eastAsia="zh-CN"/>
              </w:rPr>
            </w:pPr>
            <w:r>
              <w:rPr>
                <w:rFonts w:hint="eastAsia" w:eastAsia="宋体"/>
                <w:highlight w:val="none"/>
                <w:lang w:val="en-US" w:eastAsia="zh-CN"/>
              </w:rPr>
              <w:t>2、交货地点：采购人指定地点</w:t>
            </w:r>
          </w:p>
        </w:tc>
        <w:tc>
          <w:tcPr>
            <w:tcW w:w="452" w:type="pct"/>
            <w:noWrap w:val="0"/>
            <w:vAlign w:val="center"/>
          </w:tcPr>
          <w:p w14:paraId="5ED0269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eastAsia="宋体"/>
                <w:highlight w:val="none"/>
                <w:lang w:val="en-US" w:eastAsia="zh-CN"/>
              </w:rPr>
            </w:pPr>
          </w:p>
        </w:tc>
      </w:tr>
      <w:tr w14:paraId="16762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5" w:type="pct"/>
            <w:gridSpan w:val="3"/>
            <w:noWrap w:val="0"/>
            <w:vAlign w:val="center"/>
          </w:tcPr>
          <w:p w14:paraId="7205DA9D">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验收要求</w:t>
            </w:r>
          </w:p>
        </w:tc>
        <w:tc>
          <w:tcPr>
            <w:tcW w:w="4031" w:type="pct"/>
            <w:noWrap w:val="0"/>
            <w:vAlign w:val="center"/>
          </w:tcPr>
          <w:p w14:paraId="7F20F22F">
            <w:pPr>
              <w:numPr>
                <w:ilvl w:val="0"/>
                <w:numId w:val="0"/>
              </w:numPr>
              <w:ind w:leftChars="0"/>
              <w:rPr>
                <w:rFonts w:hint="default"/>
                <w:highlight w:val="none"/>
                <w:lang w:val="en-US" w:eastAsia="zh-CN"/>
              </w:rPr>
            </w:pPr>
            <w:r>
              <w:rPr>
                <w:rFonts w:hint="eastAsia"/>
                <w:highlight w:val="none"/>
                <w:lang w:val="en-US" w:eastAsia="zh-CN"/>
              </w:rPr>
              <w:t>1、</w:t>
            </w:r>
            <w:r>
              <w:rPr>
                <w:rFonts w:hint="default"/>
                <w:highlight w:val="none"/>
                <w:lang w:val="en-US" w:eastAsia="zh-CN"/>
              </w:rPr>
              <w:t>供货时</w:t>
            </w:r>
            <w:r>
              <w:rPr>
                <w:rFonts w:hint="eastAsia"/>
                <w:highlight w:val="none"/>
                <w:lang w:val="en-US" w:eastAsia="zh-CN"/>
              </w:rPr>
              <w:t>供应商</w:t>
            </w:r>
            <w:r>
              <w:rPr>
                <w:rFonts w:hint="default"/>
                <w:highlight w:val="none"/>
                <w:lang w:val="en-US" w:eastAsia="zh-CN"/>
              </w:rPr>
              <w:t>应提供货物清单、合格证等材料</w:t>
            </w:r>
            <w:r>
              <w:rPr>
                <w:rFonts w:hint="eastAsia"/>
                <w:highlight w:val="none"/>
                <w:lang w:val="en-US" w:eastAsia="zh-CN"/>
              </w:rPr>
              <w:t>，</w:t>
            </w:r>
            <w:r>
              <w:rPr>
                <w:rFonts w:hint="default"/>
                <w:highlight w:val="none"/>
                <w:lang w:val="en-US" w:eastAsia="zh-CN"/>
              </w:rPr>
              <w:t>产品抵达现场后，</w:t>
            </w:r>
            <w:r>
              <w:rPr>
                <w:rFonts w:hint="eastAsia"/>
                <w:highlight w:val="none"/>
                <w:lang w:val="en-US" w:eastAsia="zh-CN"/>
              </w:rPr>
              <w:t>供应商</w:t>
            </w:r>
            <w:r>
              <w:rPr>
                <w:rFonts w:hint="default"/>
                <w:highlight w:val="none"/>
                <w:lang w:val="en-US" w:eastAsia="zh-CN"/>
              </w:rPr>
              <w:t>需指派人员与采购人共同进行清点和验收。若产品的各项参数指标及配置均达到技术指标要求，则视为产品验收合格。</w:t>
            </w:r>
          </w:p>
          <w:p w14:paraId="1D0A37E4">
            <w:pPr>
              <w:numPr>
                <w:ilvl w:val="0"/>
                <w:numId w:val="0"/>
              </w:numPr>
              <w:ind w:leftChars="0"/>
              <w:rPr>
                <w:rFonts w:hint="default"/>
                <w:highlight w:val="none"/>
                <w:lang w:val="en-US" w:eastAsia="zh-CN"/>
              </w:rPr>
            </w:pPr>
            <w:r>
              <w:rPr>
                <w:rFonts w:hint="eastAsia"/>
                <w:highlight w:val="none"/>
                <w:lang w:val="en-US" w:eastAsia="zh-CN"/>
              </w:rPr>
              <w:t>2、</w:t>
            </w:r>
            <w:r>
              <w:rPr>
                <w:rFonts w:hint="default"/>
                <w:highlight w:val="none"/>
                <w:lang w:val="en-US" w:eastAsia="zh-CN"/>
              </w:rPr>
              <w:t>若在验收过程中发现产品数量与供货清单存在差异，</w:t>
            </w:r>
            <w:r>
              <w:rPr>
                <w:rFonts w:hint="eastAsia"/>
                <w:highlight w:val="none"/>
                <w:lang w:val="en-US" w:eastAsia="zh-CN"/>
              </w:rPr>
              <w:t>供应商</w:t>
            </w:r>
            <w:r>
              <w:rPr>
                <w:rFonts w:hint="default"/>
                <w:highlight w:val="none"/>
                <w:lang w:val="en-US" w:eastAsia="zh-CN"/>
              </w:rPr>
              <w:t>应负责</w:t>
            </w:r>
            <w:r>
              <w:rPr>
                <w:rFonts w:hint="eastAsia"/>
                <w:highlight w:val="none"/>
                <w:lang w:val="en-US" w:eastAsia="zh-CN"/>
              </w:rPr>
              <w:t>在24小时内</w:t>
            </w:r>
            <w:r>
              <w:rPr>
                <w:rFonts w:hint="default"/>
                <w:highlight w:val="none"/>
                <w:lang w:val="en-US" w:eastAsia="zh-CN"/>
              </w:rPr>
              <w:t>补充缺少的产品或回收多余部分。若</w:t>
            </w:r>
            <w:r>
              <w:rPr>
                <w:rFonts w:hint="eastAsia"/>
                <w:highlight w:val="none"/>
                <w:lang w:val="en-US" w:eastAsia="zh-CN"/>
              </w:rPr>
              <w:t>供应商</w:t>
            </w:r>
            <w:r>
              <w:rPr>
                <w:rFonts w:hint="default"/>
                <w:highlight w:val="none"/>
                <w:lang w:val="en-US" w:eastAsia="zh-CN"/>
              </w:rPr>
              <w:t>提供的产品质量或规格型号不符合文件及合同规定，采购人有权拒绝接收产品。双方人员应对供货中存在的问题进行详细记录形成现场记录或备忘录并签字确认，备忘录可作为退货、换货和追责的有效依据。</w:t>
            </w:r>
            <w:r>
              <w:rPr>
                <w:rFonts w:hint="eastAsia"/>
                <w:highlight w:val="none"/>
                <w:lang w:val="en-US" w:eastAsia="zh-CN"/>
              </w:rPr>
              <w:t>供应商</w:t>
            </w:r>
            <w:r>
              <w:rPr>
                <w:rFonts w:hint="default"/>
                <w:highlight w:val="none"/>
                <w:lang w:val="en-US" w:eastAsia="zh-CN"/>
              </w:rPr>
              <w:t>需负责更换全新的产品，并承担由此给采购人造成的所有损失。</w:t>
            </w:r>
          </w:p>
          <w:p w14:paraId="55F08BA9">
            <w:pPr>
              <w:numPr>
                <w:ilvl w:val="0"/>
                <w:numId w:val="0"/>
              </w:numPr>
              <w:ind w:leftChars="0"/>
              <w:rPr>
                <w:rFonts w:hint="eastAsia"/>
                <w:highlight w:val="none"/>
                <w:lang w:val="en-US" w:eastAsia="zh-CN"/>
              </w:rPr>
            </w:pPr>
            <w:r>
              <w:rPr>
                <w:rFonts w:hint="eastAsia"/>
                <w:highlight w:val="none"/>
                <w:lang w:val="en-US" w:eastAsia="zh-CN"/>
              </w:rPr>
              <w:t>3</w:t>
            </w:r>
            <w:r>
              <w:rPr>
                <w:rFonts w:hint="default"/>
                <w:highlight w:val="none"/>
                <w:lang w:val="en-US" w:eastAsia="zh-CN"/>
              </w:rPr>
              <w:t>、</w:t>
            </w:r>
            <w:r>
              <w:rPr>
                <w:rFonts w:hint="eastAsia"/>
                <w:highlight w:val="none"/>
                <w:lang w:val="en-US" w:eastAsia="zh-CN"/>
              </w:rPr>
              <w:t>供应商</w:t>
            </w:r>
            <w:r>
              <w:rPr>
                <w:rFonts w:hint="eastAsia" w:ascii="宋体" w:hAnsi="宋体" w:cs="宋体"/>
                <w:color w:val="000000"/>
                <w:szCs w:val="21"/>
                <w:highlight w:val="none"/>
              </w:rPr>
              <w:t>需承担供货时产品质量抽样检测的相关费用以及项目验收时发生的一切费用。</w:t>
            </w:r>
          </w:p>
        </w:tc>
        <w:tc>
          <w:tcPr>
            <w:tcW w:w="452" w:type="pct"/>
            <w:noWrap w:val="0"/>
            <w:vAlign w:val="center"/>
          </w:tcPr>
          <w:p w14:paraId="5170A2C3">
            <w:pPr>
              <w:numPr>
                <w:ilvl w:val="0"/>
                <w:numId w:val="0"/>
              </w:numPr>
              <w:ind w:leftChars="0"/>
              <w:rPr>
                <w:rFonts w:hint="eastAsia"/>
                <w:highlight w:val="none"/>
                <w:lang w:val="en-US" w:eastAsia="zh-CN"/>
              </w:rPr>
            </w:pPr>
          </w:p>
        </w:tc>
      </w:tr>
      <w:tr w14:paraId="0ADAB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5" w:type="pct"/>
            <w:gridSpan w:val="3"/>
            <w:noWrap w:val="0"/>
            <w:vAlign w:val="center"/>
          </w:tcPr>
          <w:p w14:paraId="03CC77F9">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质保期及售后要求</w:t>
            </w:r>
          </w:p>
        </w:tc>
        <w:tc>
          <w:tcPr>
            <w:tcW w:w="4031" w:type="pct"/>
            <w:noWrap w:val="0"/>
            <w:vAlign w:val="center"/>
          </w:tcPr>
          <w:p w14:paraId="643A7EF2">
            <w:pPr>
              <w:numPr>
                <w:ilvl w:val="0"/>
                <w:numId w:val="0"/>
              </w:numPr>
              <w:ind w:left="0" w:leftChars="0"/>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1、</w:t>
            </w:r>
            <w:r>
              <w:rPr>
                <w:rFonts w:hint="eastAsia"/>
                <w:highlight w:val="none"/>
                <w:lang w:val="en-US" w:eastAsia="zh-CN"/>
              </w:rPr>
              <w:t>所有货物质保期至少1年（自交货并验收合格之日起计），如国家或相关行业标准有要求的，应按相关标准执行。</w:t>
            </w:r>
          </w:p>
          <w:p w14:paraId="7D973EEC">
            <w:pPr>
              <w:numPr>
                <w:ilvl w:val="0"/>
                <w:numId w:val="0"/>
              </w:numPr>
              <w:ind w:left="0" w:leftChars="0"/>
              <w:rPr>
                <w:rFonts w:hint="eastAsia" w:eastAsia="宋体"/>
                <w:highlight w:val="none"/>
                <w:lang w:val="en-US" w:eastAsia="zh-CN"/>
              </w:rPr>
            </w:pPr>
            <w:r>
              <w:rPr>
                <w:rFonts w:hint="eastAsia" w:eastAsia="宋体"/>
                <w:highlight w:val="none"/>
                <w:lang w:val="en-US" w:eastAsia="zh-CN"/>
              </w:rPr>
              <w:t>2、</w:t>
            </w:r>
            <w:r>
              <w:rPr>
                <w:rFonts w:hint="eastAsia"/>
                <w:highlight w:val="none"/>
                <w:lang w:val="en-US" w:eastAsia="zh-CN"/>
              </w:rPr>
              <w:t>供应商</w:t>
            </w:r>
            <w:r>
              <w:rPr>
                <w:rFonts w:hint="eastAsia" w:eastAsia="宋体"/>
                <w:highlight w:val="none"/>
                <w:lang w:val="en-US" w:eastAsia="zh-CN"/>
              </w:rPr>
              <w:t>负责送货上门、安装调试合格（不额外收费），须派出有相应资格的技术人员到现场负责安装调试，直至正常使用。按国家有关产品“三包”规定执行“三包”，以上产品必须是具备厂家合法渠道的。</w:t>
            </w:r>
          </w:p>
          <w:p w14:paraId="280C54CE">
            <w:pPr>
              <w:numPr>
                <w:ilvl w:val="0"/>
                <w:numId w:val="0"/>
              </w:numPr>
              <w:rPr>
                <w:rFonts w:hint="eastAsia"/>
                <w:highlight w:val="none"/>
                <w:lang w:val="en-US" w:eastAsia="zh-CN"/>
              </w:rPr>
            </w:pPr>
            <w:r>
              <w:rPr>
                <w:rFonts w:hint="eastAsia"/>
                <w:highlight w:val="none"/>
                <w:lang w:val="en-US" w:eastAsia="zh-CN"/>
              </w:rPr>
              <w:t>3、在质保期内，如采购人发现货物存在质量问题，或采购人发现其他故障，供应商应在接到通知后的1小时内做出响应，并在24小时内进行处理。处理方式包括气体检验、更换气瓶等，确保用户的正常使用。</w:t>
            </w:r>
          </w:p>
          <w:p w14:paraId="62CD3360">
            <w:pPr>
              <w:widowControl w:val="0"/>
              <w:topLinePunct/>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应建立包括供货方档案、用户档案在内的质量管理制度，并有完整真实的购进、销售和退货记录，针对</w:t>
            </w:r>
            <w:r>
              <w:rPr>
                <w:rFonts w:hint="eastAsia" w:ascii="宋体" w:hAnsi="宋体" w:cs="宋体"/>
                <w:color w:val="000000"/>
                <w:szCs w:val="21"/>
                <w:highlight w:val="none"/>
                <w:lang w:val="en-US" w:eastAsia="zh-CN"/>
              </w:rPr>
              <w:t>医用瓶装气体</w:t>
            </w:r>
            <w:r>
              <w:rPr>
                <w:rFonts w:hint="eastAsia" w:ascii="宋体" w:hAnsi="宋体" w:cs="宋体"/>
                <w:color w:val="000000"/>
                <w:szCs w:val="21"/>
                <w:highlight w:val="none"/>
              </w:rPr>
              <w:t>储存有效期问题，有严防过期</w:t>
            </w:r>
            <w:r>
              <w:rPr>
                <w:rFonts w:hint="eastAsia" w:ascii="宋体" w:hAnsi="宋体" w:cs="宋体"/>
                <w:color w:val="000000"/>
                <w:szCs w:val="21"/>
                <w:highlight w:val="none"/>
                <w:lang w:val="en-US" w:eastAsia="zh-CN"/>
              </w:rPr>
              <w:t>气体</w:t>
            </w:r>
            <w:r>
              <w:rPr>
                <w:rFonts w:hint="eastAsia" w:ascii="宋体" w:hAnsi="宋体" w:cs="宋体"/>
                <w:color w:val="000000"/>
                <w:szCs w:val="21"/>
                <w:highlight w:val="none"/>
              </w:rPr>
              <w:t>被临床使用的措施，严禁提供过期不合格的</w:t>
            </w:r>
            <w:r>
              <w:rPr>
                <w:rFonts w:hint="eastAsia" w:ascii="宋体" w:hAnsi="宋体" w:cs="宋体"/>
                <w:color w:val="000000"/>
                <w:szCs w:val="21"/>
                <w:highlight w:val="none"/>
                <w:lang w:val="en-US" w:eastAsia="zh-CN"/>
              </w:rPr>
              <w:t>医用瓶装气体。</w:t>
            </w:r>
          </w:p>
          <w:p w14:paraId="08703515">
            <w:pPr>
              <w:widowControl w:val="0"/>
              <w:topLinePunct/>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、为保证</w:t>
            </w:r>
            <w:r>
              <w:rPr>
                <w:rFonts w:hint="eastAsia" w:ascii="宋体" w:hAnsi="宋体" w:cs="宋体"/>
                <w:color w:val="000000"/>
                <w:szCs w:val="21"/>
                <w:highlight w:val="none"/>
                <w:lang w:val="en-US" w:eastAsia="zh-CN"/>
              </w:rPr>
              <w:t>货物</w:t>
            </w:r>
            <w:r>
              <w:rPr>
                <w:rFonts w:hint="eastAsia" w:ascii="宋体" w:hAnsi="宋体" w:cs="宋体"/>
                <w:color w:val="000000"/>
                <w:szCs w:val="21"/>
                <w:highlight w:val="none"/>
              </w:rPr>
              <w:t>供应能够及时、全套专用设备及配套设施能安全运行，</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需配备充足的全方面售后服务人员提供全天候服务；</w:t>
            </w:r>
          </w:p>
          <w:p w14:paraId="23BBA0F4">
            <w:pPr>
              <w:widowControl w:val="0"/>
              <w:topLinePunct/>
              <w:snapToGrid w:val="0"/>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应建立相应应急</w:t>
            </w:r>
            <w:r>
              <w:rPr>
                <w:rFonts w:hint="eastAsia" w:ascii="宋体" w:hAnsi="宋体" w:cs="宋体"/>
                <w:color w:val="000000"/>
                <w:szCs w:val="21"/>
                <w:highlight w:val="none"/>
                <w:lang w:val="en-US" w:eastAsia="zh-CN"/>
              </w:rPr>
              <w:t>供应</w:t>
            </w:r>
            <w:r>
              <w:rPr>
                <w:rFonts w:hint="eastAsia" w:ascii="宋体" w:hAnsi="宋体" w:cs="宋体"/>
                <w:color w:val="000000"/>
                <w:szCs w:val="21"/>
                <w:highlight w:val="none"/>
              </w:rPr>
              <w:t>和故障排除预案，能做到24小时*7天应急紧急抢修和故障处理，遇紧急情况能采取控制措施，避免事态恶化</w:t>
            </w:r>
            <w:r>
              <w:rPr>
                <w:rFonts w:hint="eastAsia" w:ascii="宋体" w:hAnsi="宋体" w:cs="宋体"/>
                <w:color w:val="000000"/>
                <w:szCs w:val="21"/>
                <w:highlight w:val="none"/>
                <w:lang w:eastAsia="zh-CN"/>
              </w:rPr>
              <w:t>。</w:t>
            </w:r>
          </w:p>
          <w:p w14:paraId="36E6EC26">
            <w:pPr>
              <w:widowControl w:val="0"/>
              <w:topLinePunct/>
              <w:snapToGrid w:val="0"/>
              <w:spacing w:line="360" w:lineRule="auto"/>
              <w:rPr>
                <w:rFonts w:hint="eastAsia" w:eastAsia="宋体"/>
                <w:highlight w:val="none"/>
                <w:lang w:val="en-US" w:eastAsia="zh-CN"/>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、出厂时应附有合格证；验收时需出具合格证及批次信息</w:t>
            </w:r>
            <w:r>
              <w:rPr>
                <w:rFonts w:hint="eastAsia" w:ascii="宋体" w:hAnsi="宋体" w:cs="宋体"/>
                <w:color w:val="000000"/>
                <w:szCs w:val="21"/>
                <w:highlight w:val="none"/>
                <w:lang w:eastAsia="zh-CN"/>
              </w:rPr>
              <w:t>。</w:t>
            </w:r>
          </w:p>
        </w:tc>
        <w:tc>
          <w:tcPr>
            <w:tcW w:w="452" w:type="pct"/>
            <w:noWrap w:val="0"/>
            <w:vAlign w:val="center"/>
          </w:tcPr>
          <w:p w14:paraId="1D65B1AA">
            <w:pPr>
              <w:widowControl w:val="0"/>
              <w:topLinePunct/>
              <w:snapToGrid w:val="0"/>
              <w:spacing w:line="360" w:lineRule="auto"/>
              <w:rPr>
                <w:rFonts w:hint="eastAsia" w:ascii="宋体" w:hAnsi="宋体" w:cs="宋体"/>
                <w:color w:val="000000"/>
                <w:szCs w:val="21"/>
                <w:highlight w:val="none"/>
                <w:lang w:val="en-US" w:eastAsia="zh-CN"/>
              </w:rPr>
            </w:pPr>
          </w:p>
        </w:tc>
      </w:tr>
      <w:tr w14:paraId="1377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15" w:type="pct"/>
            <w:gridSpan w:val="3"/>
            <w:noWrap w:val="0"/>
            <w:vAlign w:val="center"/>
          </w:tcPr>
          <w:p w14:paraId="0B548862">
            <w:pPr>
              <w:pStyle w:val="5"/>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结算及付款方式</w:t>
            </w:r>
          </w:p>
        </w:tc>
        <w:tc>
          <w:tcPr>
            <w:tcW w:w="4031" w:type="pct"/>
            <w:noWrap w:val="0"/>
            <w:vAlign w:val="center"/>
          </w:tcPr>
          <w:p w14:paraId="736EF1A4">
            <w:pPr>
              <w:numPr>
                <w:ilvl w:val="0"/>
                <w:numId w:val="0"/>
              </w:numPr>
              <w:ind w:leftChars="0"/>
              <w:rPr>
                <w:rFonts w:hint="default"/>
                <w:highlight w:val="none"/>
                <w:lang w:val="en-US" w:eastAsia="zh-CN"/>
              </w:rPr>
            </w:pPr>
            <w:r>
              <w:rPr>
                <w:rFonts w:hint="default"/>
                <w:highlight w:val="none"/>
                <w:lang w:val="en-US" w:eastAsia="zh-CN"/>
              </w:rPr>
              <w:t>1、结算以实际供应业务量为准（中标单价*实际供应数量），</w:t>
            </w:r>
            <w:r>
              <w:rPr>
                <w:rFonts w:hint="eastAsia"/>
                <w:highlight w:val="none"/>
                <w:lang w:val="en-US" w:eastAsia="zh-CN"/>
              </w:rPr>
              <w:t>每月结算一次。供应商</w:t>
            </w:r>
            <w:r>
              <w:rPr>
                <w:rFonts w:hint="default"/>
                <w:highlight w:val="none"/>
                <w:lang w:val="en-US" w:eastAsia="zh-CN"/>
              </w:rPr>
              <w:t>开具有效票据，并提供付款材料至采购人，采购人</w:t>
            </w:r>
            <w:r>
              <w:rPr>
                <w:rFonts w:hint="eastAsia"/>
                <w:highlight w:val="none"/>
                <w:lang w:val="en-US" w:eastAsia="zh-CN"/>
              </w:rPr>
              <w:t>在收到票据180天以后，</w:t>
            </w:r>
            <w:r>
              <w:rPr>
                <w:rFonts w:hint="default"/>
                <w:highlight w:val="none"/>
                <w:lang w:val="en-US" w:eastAsia="zh-CN"/>
              </w:rPr>
              <w:t>将上</w:t>
            </w:r>
            <w:r>
              <w:rPr>
                <w:rFonts w:hint="eastAsia"/>
                <w:highlight w:val="none"/>
                <w:lang w:val="en-US" w:eastAsia="zh-CN"/>
              </w:rPr>
              <w:t>月</w:t>
            </w:r>
            <w:r>
              <w:rPr>
                <w:rFonts w:hint="default"/>
                <w:highlight w:val="none"/>
                <w:lang w:val="en-US" w:eastAsia="zh-CN"/>
              </w:rPr>
              <w:t>费用汇至</w:t>
            </w:r>
            <w:r>
              <w:rPr>
                <w:rFonts w:hint="eastAsia"/>
                <w:highlight w:val="none"/>
                <w:lang w:val="en-US" w:eastAsia="zh-CN"/>
              </w:rPr>
              <w:t>供应商</w:t>
            </w:r>
            <w:r>
              <w:rPr>
                <w:rFonts w:hint="default"/>
                <w:highlight w:val="none"/>
                <w:lang w:val="en-US" w:eastAsia="zh-CN"/>
              </w:rPr>
              <w:t>指定账户。</w:t>
            </w:r>
          </w:p>
          <w:p w14:paraId="0A11C96E">
            <w:pPr>
              <w:numPr>
                <w:ilvl w:val="0"/>
                <w:numId w:val="0"/>
              </w:numPr>
              <w:ind w:leftChars="0"/>
              <w:rPr>
                <w:rFonts w:hint="default"/>
                <w:highlight w:val="none"/>
                <w:lang w:val="en-US" w:eastAsia="zh-CN"/>
              </w:rPr>
            </w:pPr>
            <w:r>
              <w:rPr>
                <w:rFonts w:hint="default"/>
                <w:highlight w:val="none"/>
                <w:lang w:val="en-US" w:eastAsia="zh-CN"/>
              </w:rPr>
              <w:t>2、如未按国家要求开具增值税发票，一旦发现供应商提供虚假发票，除须向采购人补开合法发票外，须赔偿采购人发票票面金额一倍的违约金，且采购人有权终止合同，供应商不得提出异议，因终止合同而产生的一切损失均由供应商承担。</w:t>
            </w:r>
          </w:p>
        </w:tc>
        <w:tc>
          <w:tcPr>
            <w:tcW w:w="452" w:type="pct"/>
            <w:noWrap w:val="0"/>
            <w:vAlign w:val="center"/>
          </w:tcPr>
          <w:p w14:paraId="0F1F672B">
            <w:pPr>
              <w:numPr>
                <w:ilvl w:val="0"/>
                <w:numId w:val="0"/>
              </w:numPr>
              <w:ind w:leftChars="0"/>
              <w:rPr>
                <w:rFonts w:hint="default"/>
                <w:highlight w:val="none"/>
                <w:lang w:val="en-US" w:eastAsia="zh-CN"/>
              </w:rPr>
            </w:pPr>
          </w:p>
        </w:tc>
      </w:tr>
    </w:tbl>
    <w:p w14:paraId="7673B45A">
      <w:pPr>
        <w:jc w:val="center"/>
        <w:rPr>
          <w:rFonts w:hint="eastAsia"/>
          <w:b w:val="0"/>
          <w:bCs w:val="0"/>
          <w:lang w:val="en-US" w:eastAsia="zh-CN"/>
        </w:rPr>
      </w:pPr>
    </w:p>
    <w:p w14:paraId="3A460590"/>
    <w:p w14:paraId="0D2DE57C"/>
    <w:p w14:paraId="2136479A"/>
    <w:p w14:paraId="4878738B"/>
    <w:p w14:paraId="6C2C7ECB"/>
    <w:p w14:paraId="3812BAB9"/>
    <w:p w14:paraId="39588C03"/>
    <w:p w14:paraId="1C91D538"/>
    <w:p w14:paraId="2B2FD551"/>
    <w:p w14:paraId="28BCA7A2"/>
    <w:p w14:paraId="64A08540"/>
    <w:p w14:paraId="560186C4"/>
    <w:p w14:paraId="059C51F5"/>
    <w:p w14:paraId="50E32D47"/>
    <w:p w14:paraId="6BB013AF"/>
    <w:p w14:paraId="17748407"/>
    <w:p w14:paraId="63E78352"/>
    <w:p w14:paraId="45746011"/>
    <w:p w14:paraId="55450A69"/>
    <w:p w14:paraId="3915D41E"/>
    <w:p w14:paraId="0AD7AE36"/>
    <w:p w14:paraId="066178B7"/>
    <w:p w14:paraId="4121569D"/>
    <w:p w14:paraId="671884F5"/>
    <w:p w14:paraId="73F46605"/>
    <w:p w14:paraId="286062B0"/>
    <w:p w14:paraId="3167B379"/>
    <w:p w14:paraId="5049E9A2"/>
    <w:p w14:paraId="7DC94708"/>
    <w:p w14:paraId="10B7C256"/>
    <w:p w14:paraId="5D82132E"/>
    <w:p w14:paraId="73607A36"/>
    <w:p w14:paraId="28BEA0D6"/>
    <w:p w14:paraId="66BC04A6"/>
    <w:p w14:paraId="307B0296"/>
    <w:p w14:paraId="795621FF"/>
    <w:p w14:paraId="14B9D865"/>
    <w:p w14:paraId="53310D36"/>
    <w:p w14:paraId="75DDC020"/>
    <w:p w14:paraId="5ED44A7C"/>
    <w:p w14:paraId="40C5A212"/>
    <w:p w14:paraId="17A0BF92">
      <w:pPr>
        <w:jc w:val="center"/>
        <w:rPr>
          <w:rFonts w:hint="eastAsia"/>
          <w:sz w:val="28"/>
          <w:szCs w:val="28"/>
          <w:lang w:val="en-US" w:eastAsia="zh-CN"/>
        </w:rPr>
      </w:pPr>
      <w:r>
        <w:rPr>
          <w:rFonts w:hint="eastAsia"/>
          <w:sz w:val="28"/>
          <w:szCs w:val="28"/>
          <w:lang w:val="en-US" w:eastAsia="zh-CN"/>
        </w:rPr>
        <w:t>报价单</w:t>
      </w:r>
    </w:p>
    <w:p w14:paraId="4B73D583">
      <w:pPr>
        <w:jc w:val="center"/>
        <w:rPr>
          <w:rFonts w:hint="eastAsia"/>
          <w:sz w:val="28"/>
          <w:szCs w:val="28"/>
          <w:lang w:val="en-US" w:eastAsia="zh-CN"/>
        </w:rPr>
      </w:pPr>
    </w:p>
    <w:tbl>
      <w:tblPr>
        <w:tblStyle w:val="7"/>
        <w:tblW w:w="5118" w:type="pct"/>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8"/>
        <w:gridCol w:w="1596"/>
        <w:gridCol w:w="804"/>
        <w:gridCol w:w="1404"/>
        <w:gridCol w:w="1428"/>
        <w:gridCol w:w="1584"/>
      </w:tblGrid>
      <w:tr w14:paraId="049E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93" w:type="pct"/>
            <w:vMerge w:val="restart"/>
            <w:tcBorders>
              <w:top w:val="single" w:color="000000" w:sz="4" w:space="0"/>
              <w:left w:val="single" w:color="000000" w:sz="4" w:space="0"/>
              <w:right w:val="single" w:color="000000" w:sz="4" w:space="0"/>
            </w:tcBorders>
            <w:shd w:val="clear" w:color="auto" w:fill="auto"/>
            <w:vAlign w:val="center"/>
          </w:tcPr>
          <w:p w14:paraId="23B4A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名称</w:t>
            </w:r>
          </w:p>
        </w:tc>
        <w:tc>
          <w:tcPr>
            <w:tcW w:w="914" w:type="pct"/>
            <w:vMerge w:val="restart"/>
            <w:tcBorders>
              <w:top w:val="single" w:color="000000" w:sz="4" w:space="0"/>
              <w:left w:val="single" w:color="000000" w:sz="4" w:space="0"/>
              <w:right w:val="single" w:color="000000" w:sz="4" w:space="0"/>
            </w:tcBorders>
            <w:shd w:val="clear" w:color="auto" w:fill="auto"/>
            <w:vAlign w:val="center"/>
          </w:tcPr>
          <w:p w14:paraId="47CB5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w:t>
            </w:r>
          </w:p>
        </w:tc>
        <w:tc>
          <w:tcPr>
            <w:tcW w:w="460" w:type="pct"/>
            <w:vMerge w:val="restart"/>
            <w:tcBorders>
              <w:top w:val="single" w:color="000000" w:sz="4" w:space="0"/>
              <w:left w:val="single" w:color="000000" w:sz="4" w:space="0"/>
              <w:right w:val="single" w:color="000000" w:sz="4" w:space="0"/>
            </w:tcBorders>
            <w:shd w:val="clear" w:color="auto" w:fill="auto"/>
            <w:vAlign w:val="center"/>
          </w:tcPr>
          <w:p w14:paraId="138B9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804" w:type="pct"/>
            <w:vMerge w:val="restart"/>
            <w:tcBorders>
              <w:top w:val="single" w:color="000000" w:sz="4" w:space="0"/>
              <w:left w:val="single" w:color="000000" w:sz="4" w:space="0"/>
              <w:right w:val="single" w:color="000000" w:sz="4" w:space="0"/>
            </w:tcBorders>
            <w:shd w:val="clear" w:color="auto" w:fill="auto"/>
            <w:vAlign w:val="center"/>
          </w:tcPr>
          <w:p w14:paraId="52106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预估数量</w:t>
            </w:r>
          </w:p>
        </w:tc>
        <w:tc>
          <w:tcPr>
            <w:tcW w:w="1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259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供货单位报价情况</w:t>
            </w:r>
          </w:p>
        </w:tc>
      </w:tr>
      <w:tr w14:paraId="2083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093" w:type="pct"/>
            <w:vMerge w:val="continue"/>
            <w:tcBorders>
              <w:left w:val="single" w:color="000000" w:sz="4" w:space="0"/>
              <w:bottom w:val="single" w:color="000000" w:sz="4" w:space="0"/>
              <w:right w:val="single" w:color="000000" w:sz="4" w:space="0"/>
            </w:tcBorders>
            <w:shd w:val="clear" w:color="auto" w:fill="auto"/>
            <w:vAlign w:val="center"/>
          </w:tcPr>
          <w:p w14:paraId="2A397066">
            <w:pPr>
              <w:keepNext w:val="0"/>
              <w:keepLines w:val="0"/>
              <w:widowControl/>
              <w:suppressLineNumbers w:val="0"/>
              <w:jc w:val="center"/>
              <w:textAlignment w:val="center"/>
              <w:rPr>
                <w:sz w:val="24"/>
                <w:szCs w:val="24"/>
              </w:rPr>
            </w:pPr>
          </w:p>
        </w:tc>
        <w:tc>
          <w:tcPr>
            <w:tcW w:w="914" w:type="pct"/>
            <w:vMerge w:val="continue"/>
            <w:tcBorders>
              <w:left w:val="single" w:color="000000" w:sz="4" w:space="0"/>
              <w:bottom w:val="single" w:color="000000" w:sz="4" w:space="0"/>
              <w:right w:val="single" w:color="000000" w:sz="4" w:space="0"/>
            </w:tcBorders>
            <w:shd w:val="clear" w:color="auto" w:fill="auto"/>
            <w:vAlign w:val="center"/>
          </w:tcPr>
          <w:p w14:paraId="558FF273">
            <w:pPr>
              <w:keepNext w:val="0"/>
              <w:keepLines w:val="0"/>
              <w:widowControl/>
              <w:suppressLineNumbers w:val="0"/>
              <w:jc w:val="center"/>
              <w:textAlignment w:val="center"/>
              <w:rPr>
                <w:sz w:val="24"/>
                <w:szCs w:val="24"/>
              </w:rPr>
            </w:pPr>
          </w:p>
        </w:tc>
        <w:tc>
          <w:tcPr>
            <w:tcW w:w="460" w:type="pct"/>
            <w:vMerge w:val="continue"/>
            <w:tcBorders>
              <w:left w:val="single" w:color="000000" w:sz="4" w:space="0"/>
              <w:bottom w:val="single" w:color="000000" w:sz="4" w:space="0"/>
              <w:right w:val="single" w:color="000000" w:sz="4" w:space="0"/>
            </w:tcBorders>
            <w:shd w:val="clear" w:color="auto" w:fill="auto"/>
            <w:vAlign w:val="center"/>
          </w:tcPr>
          <w:p w14:paraId="1675D37D">
            <w:pPr>
              <w:keepNext w:val="0"/>
              <w:keepLines w:val="0"/>
              <w:widowControl/>
              <w:suppressLineNumbers w:val="0"/>
              <w:jc w:val="center"/>
              <w:textAlignment w:val="center"/>
              <w:rPr>
                <w:sz w:val="24"/>
                <w:szCs w:val="24"/>
              </w:rPr>
            </w:pPr>
          </w:p>
        </w:tc>
        <w:tc>
          <w:tcPr>
            <w:tcW w:w="804" w:type="pct"/>
            <w:vMerge w:val="continue"/>
            <w:tcBorders>
              <w:left w:val="single" w:color="000000" w:sz="4" w:space="0"/>
              <w:bottom w:val="single" w:color="000000" w:sz="4" w:space="0"/>
              <w:right w:val="single" w:color="000000" w:sz="4" w:space="0"/>
            </w:tcBorders>
            <w:shd w:val="clear" w:color="auto" w:fill="auto"/>
            <w:vAlign w:val="center"/>
          </w:tcPr>
          <w:p w14:paraId="4DD907B9">
            <w:pPr>
              <w:keepNext w:val="0"/>
              <w:keepLines w:val="0"/>
              <w:widowControl/>
              <w:suppressLineNumbers w:val="0"/>
              <w:jc w:val="center"/>
              <w:textAlignment w:val="center"/>
              <w:rPr>
                <w:sz w:val="24"/>
                <w:szCs w:val="24"/>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EBCC">
            <w:pPr>
              <w:keepNext w:val="0"/>
              <w:keepLines w:val="0"/>
              <w:widowControl/>
              <w:suppressLineNumbers w:val="0"/>
              <w:jc w:val="center"/>
              <w:textAlignment w:val="center"/>
              <w:rPr>
                <w:rFonts w:hint="eastAsia" w:eastAsiaTheme="minorEastAsia"/>
                <w:sz w:val="24"/>
                <w:szCs w:val="24"/>
                <w:lang w:val="en-US" w:eastAsia="zh-CN"/>
              </w:rPr>
            </w:pPr>
            <w:r>
              <w:rPr>
                <w:rFonts w:hint="eastAsia" w:ascii="宋体" w:hAnsi="宋体" w:eastAsia="宋体" w:cs="宋体"/>
                <w:i w:val="0"/>
                <w:iCs w:val="0"/>
                <w:color w:val="000000"/>
                <w:sz w:val="24"/>
                <w:szCs w:val="24"/>
                <w:u w:val="none"/>
                <w:lang w:val="en-US" w:eastAsia="zh-CN"/>
              </w:rPr>
              <w:t>单价（元）</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8C8D">
            <w:pPr>
              <w:keepNext w:val="0"/>
              <w:keepLines w:val="0"/>
              <w:widowControl/>
              <w:suppressLineNumbers w:val="0"/>
              <w:jc w:val="center"/>
              <w:textAlignment w:val="center"/>
              <w:rPr>
                <w:rFonts w:hint="default" w:eastAsiaTheme="minorEastAsia"/>
                <w:sz w:val="24"/>
                <w:szCs w:val="24"/>
                <w:lang w:val="en-US" w:eastAsia="zh-CN"/>
              </w:rPr>
            </w:pPr>
            <w:r>
              <w:rPr>
                <w:rFonts w:hint="eastAsia" w:ascii="宋体" w:hAnsi="宋体" w:eastAsia="宋体" w:cs="宋体"/>
                <w:i w:val="0"/>
                <w:iCs w:val="0"/>
                <w:color w:val="000000"/>
                <w:sz w:val="24"/>
                <w:szCs w:val="24"/>
                <w:u w:val="none"/>
                <w:lang w:val="en-US" w:eastAsia="zh-CN"/>
              </w:rPr>
              <w:t>小计（元）</w:t>
            </w:r>
          </w:p>
        </w:tc>
      </w:tr>
      <w:tr w14:paraId="0B0B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50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医用氧气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B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04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64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snapToGrid w:val="0"/>
                <w:color w:val="000000"/>
                <w:kern w:val="0"/>
                <w:sz w:val="24"/>
                <w:szCs w:val="24"/>
                <w:u w:val="none"/>
                <w:lang w:val="en-US" w:eastAsia="zh-CN" w:bidi="ar"/>
              </w:rPr>
              <w:t>400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6B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58CA">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14:paraId="65C8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10AB">
            <w:pPr>
              <w:jc w:val="center"/>
              <w:rPr>
                <w:rFonts w:hint="eastAsia" w:ascii="宋体" w:hAnsi="宋体" w:eastAsia="宋体" w:cs="宋体"/>
                <w:i w:val="0"/>
                <w:iCs w:val="0"/>
                <w:color w:val="000000"/>
                <w:sz w:val="24"/>
                <w:szCs w:val="24"/>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F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1DA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59D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snapToGrid w:val="0"/>
                <w:color w:val="000000"/>
                <w:kern w:val="0"/>
                <w:sz w:val="24"/>
                <w:szCs w:val="24"/>
                <w:u w:val="none"/>
                <w:lang w:val="en-US" w:eastAsia="zh-CN" w:bidi="ar"/>
              </w:rPr>
              <w:t>400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00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7B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C43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E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高纯二氧化碳</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A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4C7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A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DA3A">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AA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0DF0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9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高纯氩气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7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6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B0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snapToGrid w:val="0"/>
                <w:color w:val="000000"/>
                <w:kern w:val="0"/>
                <w:sz w:val="24"/>
                <w:szCs w:val="24"/>
                <w:u w:val="none"/>
                <w:lang w:val="en-US" w:eastAsia="zh-CN" w:bidi="ar"/>
              </w:rPr>
              <w:t>70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4287">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D3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4EE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D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标准气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77D9">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3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3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2A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52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CC5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5CA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高纯乙炔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884">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1瓶/瓶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88C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BB02">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72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D0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2DDF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F3D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普通</w:t>
            </w:r>
            <w:r>
              <w:rPr>
                <w:rFonts w:hint="eastAsia" w:ascii="宋体" w:hAnsi="宋体" w:eastAsia="宋体" w:cs="宋体"/>
                <w:i w:val="0"/>
                <w:iCs w:val="0"/>
                <w:snapToGrid w:val="0"/>
                <w:color w:val="000000"/>
                <w:kern w:val="0"/>
                <w:sz w:val="24"/>
                <w:szCs w:val="24"/>
                <w:u w:val="none"/>
                <w:lang w:val="en-US" w:eastAsia="zh-CN" w:bidi="ar"/>
              </w:rPr>
              <w:t>氩气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3CF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ADC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CC76">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74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B6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3A9C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A922A">
            <w:pPr>
              <w:keepNext w:val="0"/>
              <w:keepLines w:val="0"/>
              <w:widowControl/>
              <w:suppressLineNumbers w:val="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4"/>
                <w:szCs w:val="24"/>
                <w:u w:val="none"/>
                <w:lang w:val="en-US" w:eastAsia="zh-CN"/>
              </w:rPr>
              <w:t>合计（元）：</w:t>
            </w:r>
          </w:p>
        </w:tc>
      </w:tr>
    </w:tbl>
    <w:p w14:paraId="7B4BD9E5">
      <w:pPr>
        <w:jc w:val="center"/>
        <w:rPr>
          <w:rFonts w:hint="eastAsia" w:ascii="宋体" w:hAnsi="宋体" w:eastAsia="宋体" w:cs="宋体"/>
          <w:b w:val="0"/>
          <w:bCs w:val="0"/>
          <w:spacing w:val="3"/>
          <w:sz w:val="28"/>
          <w:szCs w:val="28"/>
          <w:lang w:val="en-US" w:eastAsia="zh-CN"/>
        </w:rPr>
      </w:pPr>
    </w:p>
    <w:p w14:paraId="641F2492">
      <w:pPr>
        <w:jc w:val="center"/>
        <w:rPr>
          <w:rFonts w:hint="eastAsia" w:ascii="宋体" w:hAnsi="宋体" w:eastAsia="宋体" w:cs="宋体"/>
          <w:b w:val="0"/>
          <w:bCs w:val="0"/>
          <w:spacing w:val="3"/>
          <w:sz w:val="28"/>
          <w:szCs w:val="28"/>
          <w:lang w:val="en-US" w:eastAsia="zh-CN"/>
        </w:rPr>
      </w:pPr>
    </w:p>
    <w:p w14:paraId="65AC790C">
      <w:pPr>
        <w:jc w:val="center"/>
        <w:rPr>
          <w:rFonts w:hint="eastAsia" w:ascii="宋体" w:hAnsi="宋体" w:eastAsia="宋体" w:cs="宋体"/>
          <w:b w:val="0"/>
          <w:bCs w:val="0"/>
          <w:spacing w:val="3"/>
          <w:sz w:val="28"/>
          <w:szCs w:val="28"/>
          <w:lang w:val="en-US" w:eastAsia="zh-CN"/>
        </w:rPr>
      </w:pPr>
    </w:p>
    <w:p w14:paraId="4284FAFD">
      <w:pPr>
        <w:jc w:val="center"/>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 xml:space="preserve"> 公司名称（盖章）：</w:t>
      </w:r>
    </w:p>
    <w:p w14:paraId="085A2082">
      <w:pPr>
        <w:jc w:val="center"/>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 xml:space="preserve">                联系人：</w:t>
      </w:r>
    </w:p>
    <w:p w14:paraId="7F2EFDEB">
      <w:pPr>
        <w:jc w:val="center"/>
        <w:rPr>
          <w:rFonts w:hint="default"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 xml:space="preserve">              联系电话：</w:t>
      </w:r>
    </w:p>
    <w:p w14:paraId="3EB6271C">
      <w:pPr>
        <w:ind w:firstLine="4862" w:firstLineChars="1700"/>
        <w:jc w:val="both"/>
        <w:rPr>
          <w:rFonts w:hint="default"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年   月    日</w:t>
      </w:r>
    </w:p>
    <w:p w14:paraId="130AC186">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A81B6-147E-4125-A6FD-65BE24CFE87F}"/>
  </w:font>
  <w:font w:name="Courier New">
    <w:panose1 w:val="02070309020205020404"/>
    <w:charset w:val="01"/>
    <w:family w:val="modern"/>
    <w:pitch w:val="default"/>
    <w:sig w:usb0="E0002EFF" w:usb1="C0007843" w:usb2="00000009" w:usb3="00000000" w:csb0="400001FF" w:csb1="FFFF0000"/>
    <w:embedRegular r:id="rId2" w:fontKey="{F95E2972-3080-46C5-8A14-776AB50399D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604ACEE-B9CB-4B73-A839-7AE50E7ABB6C}"/>
  </w:font>
  <w:font w:name="方正小标宋简体">
    <w:panose1 w:val="02000000000000000000"/>
    <w:charset w:val="86"/>
    <w:family w:val="auto"/>
    <w:pitch w:val="default"/>
    <w:sig w:usb0="A00002BF" w:usb1="184F6CFA" w:usb2="00000012" w:usb3="00000000" w:csb0="00040001" w:csb1="00000000"/>
    <w:embedRegular r:id="rId4" w:fontKey="{871CD6C8-A697-4971-8FA1-AE68267CA976}"/>
  </w:font>
  <w:font w:name="仿宋">
    <w:panose1 w:val="02010609060101010101"/>
    <w:charset w:val="86"/>
    <w:family w:val="modern"/>
    <w:pitch w:val="default"/>
    <w:sig w:usb0="800002BF" w:usb1="38CF7CFA" w:usb2="00000016" w:usb3="00000000" w:csb0="00040001" w:csb1="00000000"/>
    <w:embedRegular r:id="rId5" w:fontKey="{36E1A8AD-6278-4F6A-8484-EE984A7524F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6018E"/>
    <w:multiLevelType w:val="singleLevel"/>
    <w:tmpl w:val="B36601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E2949"/>
    <w:rsid w:val="001D5FB4"/>
    <w:rsid w:val="00C11035"/>
    <w:rsid w:val="023A1A46"/>
    <w:rsid w:val="06BC27F1"/>
    <w:rsid w:val="06F75094"/>
    <w:rsid w:val="070677A2"/>
    <w:rsid w:val="07DB0C2F"/>
    <w:rsid w:val="08E861B6"/>
    <w:rsid w:val="095575D7"/>
    <w:rsid w:val="0A9A28EE"/>
    <w:rsid w:val="0B88035F"/>
    <w:rsid w:val="0C0369A6"/>
    <w:rsid w:val="0CDE7251"/>
    <w:rsid w:val="0EDE2DB2"/>
    <w:rsid w:val="0F342849"/>
    <w:rsid w:val="11D531E1"/>
    <w:rsid w:val="14403E69"/>
    <w:rsid w:val="166E5E67"/>
    <w:rsid w:val="18FC4947"/>
    <w:rsid w:val="19647661"/>
    <w:rsid w:val="1ACE017F"/>
    <w:rsid w:val="1C3C70A6"/>
    <w:rsid w:val="1D213F09"/>
    <w:rsid w:val="1F7154BE"/>
    <w:rsid w:val="1F933F11"/>
    <w:rsid w:val="2245341D"/>
    <w:rsid w:val="225541D9"/>
    <w:rsid w:val="23380B71"/>
    <w:rsid w:val="238E2BA1"/>
    <w:rsid w:val="254F1240"/>
    <w:rsid w:val="264545D4"/>
    <w:rsid w:val="267518D0"/>
    <w:rsid w:val="26B11081"/>
    <w:rsid w:val="26C7575E"/>
    <w:rsid w:val="276E2ACE"/>
    <w:rsid w:val="282910EA"/>
    <w:rsid w:val="28902F18"/>
    <w:rsid w:val="2A893419"/>
    <w:rsid w:val="2FA77C2E"/>
    <w:rsid w:val="33174686"/>
    <w:rsid w:val="3337207F"/>
    <w:rsid w:val="341A2E56"/>
    <w:rsid w:val="34BC7164"/>
    <w:rsid w:val="34FF4A9D"/>
    <w:rsid w:val="36051277"/>
    <w:rsid w:val="3C877459"/>
    <w:rsid w:val="3DF8713D"/>
    <w:rsid w:val="40155D85"/>
    <w:rsid w:val="41432DC5"/>
    <w:rsid w:val="435372AF"/>
    <w:rsid w:val="4AF07B1A"/>
    <w:rsid w:val="4D4E6D7A"/>
    <w:rsid w:val="5062051F"/>
    <w:rsid w:val="53F341D7"/>
    <w:rsid w:val="54A6749B"/>
    <w:rsid w:val="571C3A45"/>
    <w:rsid w:val="57BB500C"/>
    <w:rsid w:val="57D32355"/>
    <w:rsid w:val="583344A2"/>
    <w:rsid w:val="584414A5"/>
    <w:rsid w:val="5B6A49C8"/>
    <w:rsid w:val="5BEF1728"/>
    <w:rsid w:val="5C653871"/>
    <w:rsid w:val="5D3C099D"/>
    <w:rsid w:val="5EDE2949"/>
    <w:rsid w:val="5F8E1258"/>
    <w:rsid w:val="60D63A7B"/>
    <w:rsid w:val="657D6D76"/>
    <w:rsid w:val="68170135"/>
    <w:rsid w:val="6ABE1899"/>
    <w:rsid w:val="6BBB3040"/>
    <w:rsid w:val="6C3F7BB9"/>
    <w:rsid w:val="6C731E6F"/>
    <w:rsid w:val="6CDF30F3"/>
    <w:rsid w:val="6CEF1588"/>
    <w:rsid w:val="6D1D02B2"/>
    <w:rsid w:val="700E5559"/>
    <w:rsid w:val="710A0DE2"/>
    <w:rsid w:val="73E84F83"/>
    <w:rsid w:val="7A02040F"/>
    <w:rsid w:val="7A7B26AD"/>
    <w:rsid w:val="7AEF644D"/>
    <w:rsid w:val="7D222719"/>
    <w:rsid w:val="7E492AC2"/>
    <w:rsid w:val="7E8839FF"/>
    <w:rsid w:val="7F094E1D"/>
    <w:rsid w:val="7F10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line="380" w:lineRule="exact"/>
    </w:pPr>
    <w:rPr>
      <w:sz w:val="24"/>
    </w:rPr>
  </w:style>
  <w:style w:type="paragraph" w:styleId="5">
    <w:name w:val="Plain Text"/>
    <w:basedOn w:val="1"/>
    <w:next w:val="3"/>
    <w:qFormat/>
    <w:uiPriority w:val="0"/>
    <w:rPr>
      <w:rFonts w:ascii="宋体" w:hAnsi="Courier New"/>
      <w:kern w:val="0"/>
      <w:sz w:val="20"/>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2895</Words>
  <Characters>3155</Characters>
  <Lines>0</Lines>
  <Paragraphs>0</Paragraphs>
  <TotalTime>35</TotalTime>
  <ScaleCrop>false</ScaleCrop>
  <LinksUpToDate>false</LinksUpToDate>
  <CharactersWithSpaces>3218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2025-06-20T07:46:00Z</dcterms:created>
  <dc:creator>Z</dc:creator>
  <cp:lastModifiedBy>卜小爬</cp:lastModifiedBy>
  <dcterms:modified xsi:type="dcterms:W3CDTF">2026-06-12T09:58:56Z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59AE25C60C2C40F88A25CC859F572416_13</vt:lpwstr>
  </property>
  <property fmtid="{D5CDD505-2E9C-101B-9397-08002B2CF9AE}" pid="4" name="KSOTemplateDocerSaveRecord">
    <vt:lpwstr>eyJoZGlkIjoiOTc3OTcyMjkxZjk2MjNkNjJmNWY4N2JjNjlkMDViMmEiLCJ1c2VySWQiOiIxMjY3NDU1ODU0In0=</vt:lpwstr>
  </property>
</Properties>
</file>