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9179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30"/>
          <w:szCs w:val="30"/>
          <w:lang w:val="en-US" w:eastAsia="zh-CN"/>
        </w:rPr>
      </w:pPr>
      <w:bookmarkStart w:id="0" w:name="_GoBack"/>
      <w:bookmarkEnd w:id="0"/>
      <w:r>
        <w:rPr>
          <w:rFonts w:hint="eastAsia" w:ascii="方正小标宋简体" w:hAnsi="方正小标宋简体" w:eastAsia="方正小标宋简体" w:cs="方正小标宋简体"/>
          <w:sz w:val="30"/>
          <w:szCs w:val="30"/>
          <w:lang w:val="en-US" w:eastAsia="zh-CN"/>
        </w:rPr>
        <w:t>附件：</w:t>
      </w:r>
    </w:p>
    <w:p w14:paraId="75F6C2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2025年医院信息管理系统(HIS)网络安全等级保护测评服务参数</w:t>
      </w:r>
    </w:p>
    <w:tbl>
      <w:tblPr>
        <w:tblStyle w:val="8"/>
        <w:tblpPr w:leftFromText="180" w:rightFromText="180" w:vertAnchor="text" w:horzAnchor="page" w:tblpX="1109" w:tblpY="627"/>
        <w:tblOverlap w:val="never"/>
        <w:tblW w:w="99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8886"/>
      </w:tblGrid>
      <w:tr w14:paraId="5BDE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84" w:type="dxa"/>
            <w:noWrap w:val="0"/>
            <w:vAlign w:val="center"/>
          </w:tcPr>
          <w:p w14:paraId="3905BF1F">
            <w:pPr>
              <w:jc w:val="center"/>
              <w:rPr>
                <w:sz w:val="28"/>
                <w:szCs w:val="28"/>
              </w:rPr>
            </w:pPr>
            <w:r>
              <w:rPr>
                <w:rFonts w:hint="eastAsia"/>
                <w:sz w:val="28"/>
                <w:szCs w:val="28"/>
                <w:lang w:val="en-US" w:eastAsia="zh-CN"/>
              </w:rPr>
              <w:t>等级保护测评服务</w:t>
            </w:r>
          </w:p>
        </w:tc>
        <w:tc>
          <w:tcPr>
            <w:tcW w:w="8886" w:type="dxa"/>
            <w:noWrap w:val="0"/>
            <w:vAlign w:val="top"/>
          </w:tcPr>
          <w:p w14:paraId="677FB352">
            <w:pPr>
              <w:rPr>
                <w:rFonts w:hint="eastAsia"/>
                <w:sz w:val="28"/>
                <w:szCs w:val="28"/>
              </w:rPr>
            </w:pPr>
            <w:r>
              <w:rPr>
                <w:rFonts w:hint="eastAsia"/>
                <w:sz w:val="28"/>
                <w:szCs w:val="28"/>
              </w:rPr>
              <w:t>网络安全等级保护测评服务内容</w:t>
            </w:r>
          </w:p>
          <w:p w14:paraId="74565522">
            <w:pPr>
              <w:ind w:firstLine="552" w:firstLineChars="200"/>
              <w:rPr>
                <w:rFonts w:hint="eastAsia"/>
                <w:sz w:val="28"/>
                <w:szCs w:val="28"/>
              </w:rPr>
            </w:pPr>
            <w:r>
              <w:rPr>
                <w:rFonts w:hint="eastAsia"/>
                <w:sz w:val="28"/>
                <w:szCs w:val="28"/>
              </w:rPr>
              <w:t>1.依据《信息安全技术 网络安全等级保护测评要求》（GB/T 28448-2019）,对医院信息管理系统（HIS）进行安全等级保护测评，并出具网络安全等级保护测评报告。</w:t>
            </w:r>
          </w:p>
          <w:p w14:paraId="1548BAAE">
            <w:pPr>
              <w:ind w:firstLine="552" w:firstLineChars="200"/>
              <w:rPr>
                <w:rFonts w:hint="eastAsia"/>
                <w:sz w:val="28"/>
                <w:szCs w:val="28"/>
              </w:rPr>
            </w:pPr>
            <w:r>
              <w:rPr>
                <w:rFonts w:hint="eastAsia"/>
                <w:sz w:val="28"/>
                <w:szCs w:val="28"/>
              </w:rPr>
              <w:t>2.标准依据</w:t>
            </w:r>
          </w:p>
          <w:p w14:paraId="296DDB03">
            <w:pPr>
              <w:rPr>
                <w:rFonts w:hint="eastAsia"/>
                <w:sz w:val="28"/>
                <w:szCs w:val="28"/>
              </w:rPr>
            </w:pPr>
            <w:r>
              <w:rPr>
                <w:rFonts w:hint="eastAsia"/>
                <w:sz w:val="28"/>
                <w:szCs w:val="28"/>
              </w:rPr>
              <w:t>《计算机信息系统安全保护等级划分准则》（GB 17859-1999)</w:t>
            </w:r>
          </w:p>
          <w:p w14:paraId="0EFEE38E">
            <w:pPr>
              <w:rPr>
                <w:rFonts w:hint="eastAsia"/>
                <w:sz w:val="28"/>
                <w:szCs w:val="28"/>
              </w:rPr>
            </w:pPr>
            <w:r>
              <w:rPr>
                <w:rFonts w:hint="eastAsia"/>
                <w:sz w:val="28"/>
                <w:szCs w:val="28"/>
              </w:rPr>
              <w:t>《信息安全技术 网络安全等级保护基本要求》（GB/T 22239-2019）</w:t>
            </w:r>
          </w:p>
          <w:p w14:paraId="05801B49">
            <w:pPr>
              <w:rPr>
                <w:rFonts w:hint="eastAsia"/>
                <w:sz w:val="28"/>
                <w:szCs w:val="28"/>
              </w:rPr>
            </w:pPr>
            <w:r>
              <w:rPr>
                <w:rFonts w:hint="eastAsia"/>
                <w:sz w:val="28"/>
                <w:szCs w:val="28"/>
              </w:rPr>
              <w:t>《信息安全技术 网络安全等级保护测评要求》（GB/T 28448-2019）</w:t>
            </w:r>
          </w:p>
          <w:p w14:paraId="0C0015D6">
            <w:pPr>
              <w:rPr>
                <w:rFonts w:hint="eastAsia"/>
                <w:sz w:val="28"/>
                <w:szCs w:val="28"/>
              </w:rPr>
            </w:pPr>
            <w:r>
              <w:rPr>
                <w:rFonts w:hint="eastAsia"/>
                <w:sz w:val="28"/>
                <w:szCs w:val="28"/>
              </w:rPr>
              <w:t>《信息安全技术 网络安全等级保护测评过程指南》（GB/T 28449-2018)</w:t>
            </w:r>
          </w:p>
          <w:p w14:paraId="1AF39363">
            <w:pPr>
              <w:ind w:firstLine="552" w:firstLineChars="200"/>
              <w:rPr>
                <w:rFonts w:hint="eastAsia"/>
                <w:sz w:val="28"/>
                <w:szCs w:val="28"/>
              </w:rPr>
            </w:pPr>
            <w:r>
              <w:rPr>
                <w:rFonts w:hint="eastAsia"/>
                <w:sz w:val="28"/>
                <w:szCs w:val="28"/>
              </w:rPr>
              <w:t>3.测评内容</w:t>
            </w:r>
          </w:p>
          <w:p w14:paraId="1A3777DB">
            <w:pPr>
              <w:ind w:firstLine="276" w:firstLineChars="100"/>
              <w:rPr>
                <w:rFonts w:hint="eastAsia"/>
                <w:sz w:val="28"/>
                <w:szCs w:val="28"/>
              </w:rPr>
            </w:pPr>
            <w:r>
              <w:rPr>
                <w:rFonts w:hint="eastAsia"/>
                <w:sz w:val="28"/>
                <w:szCs w:val="28"/>
              </w:rPr>
              <w:t>（1）安全管理制度和安全技术测评</w:t>
            </w:r>
          </w:p>
          <w:p w14:paraId="4D658E67">
            <w:pPr>
              <w:ind w:firstLine="552" w:firstLineChars="200"/>
              <w:rPr>
                <w:rFonts w:hint="eastAsia"/>
                <w:sz w:val="28"/>
                <w:szCs w:val="28"/>
              </w:rPr>
            </w:pPr>
            <w:r>
              <w:rPr>
                <w:rFonts w:hint="eastAsia"/>
                <w:sz w:val="28"/>
                <w:szCs w:val="28"/>
              </w:rPr>
              <w:t>测评内容包括安全管理和安全技术两大类，其中技术类包括对安全物理环境、安全通信网络、安全区域边界、安全计算环境、安全管理中心五个方面测评。安全管理类测评包括对安全管理制度、安全管理机构、安全管理人员、安全建设管理、安全运维管理五个方面测评。</w:t>
            </w:r>
          </w:p>
          <w:p w14:paraId="4E59AC55">
            <w:pPr>
              <w:ind w:firstLine="276" w:firstLineChars="100"/>
              <w:rPr>
                <w:rFonts w:hint="eastAsia"/>
                <w:sz w:val="28"/>
                <w:szCs w:val="28"/>
              </w:rPr>
            </w:pPr>
            <w:r>
              <w:rPr>
                <w:rFonts w:hint="eastAsia"/>
                <w:sz w:val="28"/>
                <w:szCs w:val="28"/>
              </w:rPr>
              <w:t>（2）安全扩展要求测评</w:t>
            </w:r>
          </w:p>
          <w:p w14:paraId="3785D04D">
            <w:pPr>
              <w:ind w:firstLine="276" w:firstLineChars="100"/>
              <w:rPr>
                <w:rFonts w:hint="eastAsia"/>
                <w:sz w:val="28"/>
                <w:szCs w:val="28"/>
              </w:rPr>
            </w:pPr>
            <w:r>
              <w:rPr>
                <w:rFonts w:hint="eastAsia"/>
                <w:sz w:val="28"/>
                <w:szCs w:val="28"/>
              </w:rPr>
              <w:t>根据现场情况，保护对象可能涉及的安全扩展要求包括：</w:t>
            </w:r>
          </w:p>
          <w:p w14:paraId="6E69743F">
            <w:pPr>
              <w:ind w:firstLine="828" w:firstLineChars="300"/>
              <w:rPr>
                <w:rFonts w:hint="eastAsia"/>
                <w:sz w:val="28"/>
                <w:szCs w:val="28"/>
              </w:rPr>
            </w:pPr>
            <w:r>
              <w:rPr>
                <w:rFonts w:hint="eastAsia"/>
                <w:sz w:val="28"/>
                <w:szCs w:val="28"/>
              </w:rPr>
              <w:t>1）云计算</w:t>
            </w:r>
          </w:p>
          <w:p w14:paraId="51484391">
            <w:pPr>
              <w:ind w:firstLine="552" w:firstLineChars="200"/>
              <w:rPr>
                <w:rFonts w:hint="eastAsia"/>
                <w:sz w:val="28"/>
                <w:szCs w:val="28"/>
              </w:rPr>
            </w:pPr>
            <w:r>
              <w:rPr>
                <w:rFonts w:hint="eastAsia"/>
                <w:sz w:val="28"/>
                <w:szCs w:val="28"/>
              </w:rPr>
              <w:t>云计算安全测评内容包括对安全物理环境、安全通信网络、安全区域边界、安全计算环境、安全管理中心、安全建设管理、安全运维管理等的测评。</w:t>
            </w:r>
          </w:p>
          <w:p w14:paraId="15651E75">
            <w:pPr>
              <w:ind w:firstLine="552" w:firstLineChars="200"/>
              <w:rPr>
                <w:rFonts w:hint="eastAsia"/>
                <w:sz w:val="28"/>
                <w:szCs w:val="28"/>
              </w:rPr>
            </w:pPr>
            <w:r>
              <w:rPr>
                <w:rFonts w:hint="eastAsia"/>
                <w:sz w:val="28"/>
                <w:szCs w:val="28"/>
              </w:rPr>
              <w:t>2）移动互联</w:t>
            </w:r>
          </w:p>
          <w:p w14:paraId="682BA6FD">
            <w:pPr>
              <w:ind w:firstLine="552" w:firstLineChars="200"/>
              <w:rPr>
                <w:rFonts w:hint="eastAsia"/>
                <w:sz w:val="28"/>
                <w:szCs w:val="28"/>
              </w:rPr>
            </w:pPr>
            <w:r>
              <w:rPr>
                <w:rFonts w:hint="eastAsia"/>
                <w:sz w:val="28"/>
                <w:szCs w:val="28"/>
              </w:rPr>
              <w:t>移动互联安全测评内容包括对安全物理环境、安全区域边界、安全计算环境、安全建设管理、安全运维管理等的测评。</w:t>
            </w:r>
          </w:p>
          <w:p w14:paraId="352A71EB">
            <w:pPr>
              <w:ind w:firstLine="552" w:firstLineChars="200"/>
              <w:rPr>
                <w:rFonts w:hint="eastAsia"/>
                <w:sz w:val="28"/>
                <w:szCs w:val="28"/>
              </w:rPr>
            </w:pPr>
            <w:r>
              <w:rPr>
                <w:rFonts w:hint="eastAsia"/>
                <w:sz w:val="28"/>
                <w:szCs w:val="28"/>
              </w:rPr>
              <w:t>3）物联网</w:t>
            </w:r>
          </w:p>
          <w:p w14:paraId="6DEE031A">
            <w:pPr>
              <w:ind w:firstLine="552" w:firstLineChars="200"/>
              <w:rPr>
                <w:rFonts w:hint="eastAsia"/>
                <w:sz w:val="28"/>
                <w:szCs w:val="28"/>
              </w:rPr>
            </w:pPr>
            <w:r>
              <w:rPr>
                <w:rFonts w:hint="eastAsia"/>
                <w:sz w:val="28"/>
                <w:szCs w:val="28"/>
              </w:rPr>
              <w:t>物联网安全测评内容包括对安全物理环境、安全区域边界、安全计算环境、安全运维管理等的测评。</w:t>
            </w:r>
          </w:p>
          <w:p w14:paraId="6205CC84">
            <w:pPr>
              <w:ind w:firstLine="552" w:firstLineChars="200"/>
              <w:rPr>
                <w:rFonts w:hint="eastAsia"/>
                <w:sz w:val="28"/>
                <w:szCs w:val="28"/>
              </w:rPr>
            </w:pPr>
            <w:r>
              <w:rPr>
                <w:rFonts w:hint="eastAsia"/>
                <w:sz w:val="28"/>
                <w:szCs w:val="28"/>
              </w:rPr>
              <w:t>4）工业控制系统</w:t>
            </w:r>
          </w:p>
          <w:p w14:paraId="3EB0396E">
            <w:pPr>
              <w:ind w:firstLine="552" w:firstLineChars="200"/>
              <w:rPr>
                <w:rFonts w:hint="eastAsia"/>
                <w:sz w:val="28"/>
                <w:szCs w:val="28"/>
              </w:rPr>
            </w:pPr>
            <w:r>
              <w:rPr>
                <w:rFonts w:hint="eastAsia"/>
                <w:sz w:val="28"/>
                <w:szCs w:val="28"/>
              </w:rPr>
              <w:t>工业控制系统安全测评包括对安全物理环境、安全通信网络、安全区域边界、安全计算环境、安全建设管理方面的测评。</w:t>
            </w:r>
          </w:p>
          <w:p w14:paraId="6A65D00F">
            <w:pPr>
              <w:ind w:firstLine="552" w:firstLineChars="200"/>
              <w:rPr>
                <w:rFonts w:hint="eastAsia"/>
                <w:sz w:val="28"/>
                <w:szCs w:val="28"/>
              </w:rPr>
            </w:pPr>
            <w:r>
              <w:rPr>
                <w:rFonts w:hint="eastAsia"/>
                <w:sz w:val="28"/>
                <w:szCs w:val="28"/>
              </w:rPr>
              <w:t>5）大数据</w:t>
            </w:r>
          </w:p>
          <w:p w14:paraId="1092E383">
            <w:pPr>
              <w:ind w:firstLine="552" w:firstLineChars="200"/>
              <w:rPr>
                <w:rFonts w:hint="eastAsia"/>
                <w:sz w:val="28"/>
                <w:szCs w:val="28"/>
              </w:rPr>
            </w:pPr>
            <w:r>
              <w:rPr>
                <w:rFonts w:hint="eastAsia"/>
                <w:sz w:val="28"/>
                <w:szCs w:val="28"/>
              </w:rPr>
              <w:t>大数据安全测评包括对安全物理环境、安全通信网络、安全计算环境、安全运维管理等的测评。</w:t>
            </w:r>
          </w:p>
          <w:p w14:paraId="4AB89751">
            <w:pPr>
              <w:ind w:firstLine="552" w:firstLineChars="200"/>
              <w:rPr>
                <w:rFonts w:hint="eastAsia"/>
                <w:sz w:val="28"/>
                <w:szCs w:val="28"/>
              </w:rPr>
            </w:pPr>
            <w:r>
              <w:rPr>
                <w:rFonts w:hint="eastAsia"/>
                <w:sz w:val="28"/>
                <w:szCs w:val="28"/>
              </w:rPr>
              <w:t>4.测评方法</w:t>
            </w:r>
          </w:p>
          <w:p w14:paraId="7F4C96D0">
            <w:pPr>
              <w:ind w:firstLine="552" w:firstLineChars="200"/>
              <w:rPr>
                <w:rFonts w:hint="eastAsia"/>
                <w:sz w:val="28"/>
                <w:szCs w:val="28"/>
              </w:rPr>
            </w:pPr>
            <w:r>
              <w:rPr>
                <w:rFonts w:hint="eastAsia"/>
                <w:sz w:val="28"/>
                <w:szCs w:val="28"/>
              </w:rPr>
              <w:t>在测评实施过程中，采用访谈、检查和测试、渗透测试等测评方法进行，并与国家相关规范及标准要求相符。</w:t>
            </w:r>
          </w:p>
          <w:p w14:paraId="759D163B">
            <w:pPr>
              <w:ind w:firstLine="552" w:firstLineChars="200"/>
              <w:rPr>
                <w:rFonts w:hint="eastAsia"/>
                <w:sz w:val="28"/>
                <w:szCs w:val="28"/>
              </w:rPr>
            </w:pPr>
            <w:r>
              <w:rPr>
                <w:rFonts w:hint="eastAsia"/>
                <w:sz w:val="28"/>
                <w:szCs w:val="28"/>
              </w:rPr>
              <w:t>（1）访谈是指测评人员通过引导信息系统相关人员进行有目的的（有针对性的）交流以帮助测评人员理解、分析或取得证据的过程；</w:t>
            </w:r>
          </w:p>
          <w:p w14:paraId="0164FD2D">
            <w:pPr>
              <w:ind w:firstLine="552" w:firstLineChars="200"/>
              <w:rPr>
                <w:rFonts w:hint="eastAsia"/>
                <w:sz w:val="28"/>
                <w:szCs w:val="28"/>
              </w:rPr>
            </w:pPr>
            <w:r>
              <w:rPr>
                <w:rFonts w:hint="eastAsia"/>
                <w:sz w:val="28"/>
                <w:szCs w:val="28"/>
              </w:rPr>
              <w:t>（2）检查是指测评人员通过对测评对象（如管理制度、操作记录、安全配置等）进行观察、查验、分析以帮助测评人员理解、分析或取得证据的过程；</w:t>
            </w:r>
          </w:p>
          <w:p w14:paraId="661E77A6">
            <w:pPr>
              <w:ind w:firstLine="552" w:firstLineChars="200"/>
              <w:rPr>
                <w:rFonts w:hint="eastAsia"/>
                <w:sz w:val="28"/>
                <w:szCs w:val="28"/>
              </w:rPr>
            </w:pPr>
            <w:r>
              <w:rPr>
                <w:rFonts w:hint="eastAsia"/>
                <w:sz w:val="28"/>
                <w:szCs w:val="28"/>
              </w:rPr>
              <w:t>（3）测试是测评人员使用预定的方法/工具使测评对象产生特定的行为，通过查看和分析结果以帮助测评人员获取证据的过程；</w:t>
            </w:r>
          </w:p>
          <w:p w14:paraId="2C15230A">
            <w:pPr>
              <w:ind w:firstLine="552" w:firstLineChars="200"/>
              <w:rPr>
                <w:rFonts w:hint="eastAsia"/>
                <w:sz w:val="28"/>
                <w:szCs w:val="28"/>
              </w:rPr>
            </w:pPr>
            <w:r>
              <w:rPr>
                <w:rFonts w:hint="eastAsia"/>
                <w:sz w:val="28"/>
                <w:szCs w:val="28"/>
              </w:rPr>
              <w:t>（4）渗透测试是模拟黑客的攻击方法，对受保护对象，包括应用系统、主机、网络进行攻击，从而验证测评对象的弱点、技术缺陷或漏洞的一种评估方法。</w:t>
            </w:r>
          </w:p>
          <w:p w14:paraId="6846C676">
            <w:pPr>
              <w:ind w:firstLine="552" w:firstLineChars="200"/>
              <w:rPr>
                <w:rFonts w:hint="eastAsia"/>
                <w:sz w:val="28"/>
                <w:szCs w:val="28"/>
              </w:rPr>
            </w:pPr>
            <w:r>
              <w:rPr>
                <w:rFonts w:hint="eastAsia"/>
                <w:sz w:val="28"/>
                <w:szCs w:val="28"/>
              </w:rPr>
              <w:t>5.服务成果</w:t>
            </w:r>
          </w:p>
          <w:p w14:paraId="0E29400B">
            <w:pPr>
              <w:ind w:firstLine="552" w:firstLineChars="200"/>
              <w:rPr>
                <w:sz w:val="28"/>
                <w:szCs w:val="28"/>
              </w:rPr>
            </w:pPr>
            <w:r>
              <w:rPr>
                <w:rFonts w:hint="eastAsia"/>
                <w:sz w:val="28"/>
                <w:szCs w:val="28"/>
              </w:rPr>
              <w:t>测评完成后，出具符合《信息安全技术-网络安全等级保护基本要求》（GB/T 22239-2019）相关技术标准要求、国家网络安全等级保护管理部门规范要求且公安机关认可的的网络安全等级保护测评报告。</w:t>
            </w:r>
          </w:p>
        </w:tc>
      </w:tr>
      <w:tr w14:paraId="23EB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84" w:type="dxa"/>
            <w:noWrap w:val="0"/>
            <w:vAlign w:val="center"/>
          </w:tcPr>
          <w:p w14:paraId="1617CF71">
            <w:pPr>
              <w:jc w:val="center"/>
              <w:rPr>
                <w:rFonts w:hint="default"/>
                <w:color w:val="auto"/>
                <w:sz w:val="28"/>
                <w:szCs w:val="28"/>
                <w:lang w:val="en-US"/>
              </w:rPr>
            </w:pPr>
            <w:r>
              <w:rPr>
                <w:rFonts w:hint="eastAsia"/>
                <w:color w:val="auto"/>
                <w:sz w:val="28"/>
                <w:szCs w:val="28"/>
                <w:lang w:val="en-US" w:eastAsia="zh-CN"/>
              </w:rPr>
              <w:t>测评整改要求</w:t>
            </w:r>
          </w:p>
        </w:tc>
        <w:tc>
          <w:tcPr>
            <w:tcW w:w="8886" w:type="dxa"/>
            <w:noWrap w:val="0"/>
            <w:vAlign w:val="center"/>
          </w:tcPr>
          <w:p w14:paraId="06F5E1F5">
            <w:pPr>
              <w:numPr>
                <w:ilvl w:val="0"/>
                <w:numId w:val="0"/>
              </w:numPr>
              <w:ind w:firstLine="552" w:firstLineChars="200"/>
              <w:jc w:val="left"/>
              <w:rPr>
                <w:rFonts w:hint="eastAsia"/>
                <w:color w:val="auto"/>
                <w:sz w:val="28"/>
                <w:szCs w:val="28"/>
                <w:vertAlign w:val="baseline"/>
                <w:lang w:val="en-US" w:eastAsia="zh-CN"/>
              </w:rPr>
            </w:pPr>
            <w:r>
              <w:rPr>
                <w:rFonts w:hint="eastAsia" w:cstheme="minorBidi"/>
                <w:color w:val="auto"/>
                <w:kern w:val="2"/>
                <w:sz w:val="28"/>
                <w:szCs w:val="28"/>
                <w:vertAlign w:val="baseline"/>
                <w:lang w:val="en-US" w:eastAsia="zh-CN" w:bidi="ar-SA"/>
              </w:rPr>
              <w:t>1.</w:t>
            </w:r>
            <w:r>
              <w:rPr>
                <w:rFonts w:hint="eastAsia"/>
                <w:color w:val="auto"/>
                <w:sz w:val="28"/>
                <w:szCs w:val="28"/>
                <w:vertAlign w:val="baseline"/>
                <w:lang w:val="en-US" w:eastAsia="zh-CN"/>
              </w:rPr>
              <w:t>提供两套钢制甲级单开防火门、并配套门禁系统，机房综合布线梳理，达到三级等保建设要求。</w:t>
            </w:r>
          </w:p>
          <w:p w14:paraId="691CDD67">
            <w:pPr>
              <w:ind w:firstLine="552" w:firstLineChars="200"/>
              <w:jc w:val="left"/>
              <w:rPr>
                <w:color w:val="auto"/>
                <w:sz w:val="28"/>
                <w:szCs w:val="28"/>
              </w:rPr>
            </w:pPr>
            <w:r>
              <w:rPr>
                <w:rFonts w:hint="eastAsia"/>
                <w:color w:val="auto"/>
                <w:sz w:val="28"/>
                <w:szCs w:val="28"/>
                <w:vertAlign w:val="baseline"/>
                <w:lang w:val="en-US" w:eastAsia="zh-CN"/>
              </w:rPr>
              <w:t>2.直接对可能影响测评通过的要素进行整改，保证三级等保测评通过。</w:t>
            </w:r>
          </w:p>
        </w:tc>
      </w:tr>
      <w:tr w14:paraId="741C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84" w:type="dxa"/>
            <w:noWrap w:val="0"/>
            <w:vAlign w:val="center"/>
          </w:tcPr>
          <w:p w14:paraId="79DF7C9E">
            <w:pPr>
              <w:jc w:val="center"/>
              <w:rPr>
                <w:sz w:val="28"/>
                <w:szCs w:val="28"/>
              </w:rPr>
            </w:pPr>
            <w:r>
              <w:rPr>
                <w:sz w:val="28"/>
                <w:szCs w:val="28"/>
              </w:rPr>
              <w:t>报价</w:t>
            </w:r>
          </w:p>
          <w:p w14:paraId="0F731AFA">
            <w:pPr>
              <w:jc w:val="center"/>
              <w:rPr>
                <w:sz w:val="28"/>
                <w:szCs w:val="28"/>
              </w:rPr>
            </w:pPr>
            <w:r>
              <w:rPr>
                <w:sz w:val="28"/>
                <w:szCs w:val="28"/>
              </w:rPr>
              <w:t>要求</w:t>
            </w:r>
          </w:p>
        </w:tc>
        <w:tc>
          <w:tcPr>
            <w:tcW w:w="8886" w:type="dxa"/>
            <w:noWrap w:val="0"/>
            <w:vAlign w:val="top"/>
          </w:tcPr>
          <w:p w14:paraId="2F7DF5B7">
            <w:pPr>
              <w:ind w:firstLine="552" w:firstLineChars="200"/>
              <w:rPr>
                <w:sz w:val="28"/>
                <w:szCs w:val="28"/>
              </w:rPr>
            </w:pPr>
            <w:r>
              <w:rPr>
                <w:sz w:val="28"/>
                <w:szCs w:val="28"/>
              </w:rPr>
              <w:t>本项目报价为完成采购人指定内容的整体包干价，包括：包括完成项目所需的服务费</w:t>
            </w:r>
            <w:r>
              <w:rPr>
                <w:rFonts w:hint="eastAsia"/>
                <w:sz w:val="28"/>
                <w:szCs w:val="28"/>
                <w:lang w:eastAsia="zh-CN"/>
              </w:rPr>
              <w:t>，</w:t>
            </w:r>
            <w:r>
              <w:rPr>
                <w:sz w:val="28"/>
                <w:szCs w:val="28"/>
              </w:rPr>
              <w:t>拟投入本项目</w:t>
            </w:r>
            <w:r>
              <w:rPr>
                <w:rFonts w:hint="eastAsia"/>
                <w:color w:val="auto"/>
                <w:sz w:val="28"/>
                <w:szCs w:val="28"/>
                <w:lang w:val="en-US" w:eastAsia="zh-CN"/>
              </w:rPr>
              <w:t>需要整改</w:t>
            </w:r>
            <w:r>
              <w:rPr>
                <w:sz w:val="28"/>
                <w:szCs w:val="28"/>
              </w:rPr>
              <w:t>的人工费</w:t>
            </w:r>
            <w:r>
              <w:rPr>
                <w:rFonts w:hint="eastAsia"/>
                <w:sz w:val="28"/>
                <w:szCs w:val="28"/>
                <w:lang w:eastAsia="zh-CN"/>
              </w:rPr>
              <w:t>、</w:t>
            </w:r>
            <w:r>
              <w:rPr>
                <w:rFonts w:hint="eastAsia"/>
                <w:sz w:val="28"/>
                <w:szCs w:val="28"/>
                <w:lang w:val="en-US" w:eastAsia="zh-CN"/>
              </w:rPr>
              <w:t>设备费、文档材料费、机房改造费</w:t>
            </w:r>
            <w:r>
              <w:rPr>
                <w:sz w:val="28"/>
                <w:szCs w:val="28"/>
              </w:rPr>
              <w:t>等。</w:t>
            </w:r>
          </w:p>
        </w:tc>
      </w:tr>
      <w:tr w14:paraId="605D0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84" w:type="dxa"/>
            <w:noWrap w:val="0"/>
            <w:vAlign w:val="center"/>
          </w:tcPr>
          <w:p w14:paraId="69C72D5C">
            <w:pPr>
              <w:jc w:val="center"/>
              <w:rPr>
                <w:sz w:val="28"/>
                <w:szCs w:val="28"/>
              </w:rPr>
            </w:pPr>
            <w:r>
              <w:rPr>
                <w:sz w:val="28"/>
                <w:szCs w:val="28"/>
              </w:rPr>
              <w:t>服务</w:t>
            </w:r>
          </w:p>
          <w:p w14:paraId="7B644A19">
            <w:pPr>
              <w:jc w:val="center"/>
              <w:rPr>
                <w:sz w:val="28"/>
                <w:szCs w:val="28"/>
              </w:rPr>
            </w:pPr>
            <w:r>
              <w:rPr>
                <w:sz w:val="28"/>
                <w:szCs w:val="28"/>
              </w:rPr>
              <w:t>要求</w:t>
            </w:r>
          </w:p>
        </w:tc>
        <w:tc>
          <w:tcPr>
            <w:tcW w:w="8886" w:type="dxa"/>
            <w:noWrap w:val="0"/>
            <w:vAlign w:val="top"/>
          </w:tcPr>
          <w:p w14:paraId="1916B904">
            <w:pPr>
              <w:ind w:firstLine="276" w:firstLineChars="100"/>
              <w:rPr>
                <w:rFonts w:hint="eastAsia"/>
                <w:sz w:val="28"/>
                <w:szCs w:val="28"/>
                <w:lang w:val="en-US" w:eastAsia="zh-CN"/>
              </w:rPr>
            </w:pPr>
            <w:r>
              <w:rPr>
                <w:rFonts w:hint="eastAsia"/>
                <w:sz w:val="28"/>
                <w:szCs w:val="28"/>
                <w:lang w:val="en-US" w:eastAsia="zh-CN"/>
              </w:rPr>
              <w:t>1.本项目为交钥匙项目，原则上需要在2025年12月</w:t>
            </w:r>
            <w:r>
              <w:rPr>
                <w:rFonts w:hint="eastAsia"/>
                <w:color w:val="auto"/>
                <w:sz w:val="28"/>
                <w:szCs w:val="28"/>
                <w:lang w:val="en-US" w:eastAsia="zh-CN"/>
              </w:rPr>
              <w:t>20</w:t>
            </w:r>
            <w:r>
              <w:rPr>
                <w:rFonts w:hint="eastAsia"/>
                <w:sz w:val="28"/>
                <w:szCs w:val="28"/>
                <w:lang w:val="en-US" w:eastAsia="zh-CN"/>
              </w:rPr>
              <w:t>日前测评通过。</w:t>
            </w:r>
          </w:p>
          <w:p w14:paraId="6C2DE18F">
            <w:pPr>
              <w:ind w:firstLine="276" w:firstLineChars="100"/>
              <w:rPr>
                <w:rFonts w:hint="eastAsia"/>
                <w:sz w:val="28"/>
                <w:szCs w:val="28"/>
              </w:rPr>
            </w:pPr>
            <w:r>
              <w:rPr>
                <w:rFonts w:hint="eastAsia"/>
                <w:sz w:val="28"/>
                <w:szCs w:val="28"/>
                <w:lang w:val="en-US" w:eastAsia="zh-CN"/>
              </w:rPr>
              <w:t>2.</w:t>
            </w:r>
            <w:r>
              <w:rPr>
                <w:rFonts w:hint="eastAsia"/>
                <w:sz w:val="28"/>
                <w:szCs w:val="28"/>
              </w:rPr>
              <w:t>成交人须独立完成整个项目，不得以任何形式转包。</w:t>
            </w:r>
          </w:p>
          <w:p w14:paraId="1A8FE163">
            <w:pPr>
              <w:ind w:firstLine="276" w:firstLineChars="100"/>
              <w:rPr>
                <w:rFonts w:hint="eastAsia"/>
                <w:sz w:val="28"/>
                <w:szCs w:val="28"/>
              </w:rPr>
            </w:pPr>
            <w:r>
              <w:rPr>
                <w:rFonts w:hint="eastAsia"/>
                <w:sz w:val="28"/>
                <w:szCs w:val="28"/>
                <w:lang w:val="en-US" w:eastAsia="zh-CN"/>
              </w:rPr>
              <w:t>3.</w:t>
            </w:r>
            <w:r>
              <w:rPr>
                <w:rFonts w:hint="eastAsia"/>
                <w:sz w:val="28"/>
                <w:szCs w:val="28"/>
              </w:rPr>
              <w:t>成交人在测评过程中需要对信息系统进行重要操作时，必须先获采购人批准后才可进行操作。如成交人未经批准，自己过失操作造成设备损坏、数据丢失、信息泄露等负面事件发生，由成交人承担损失，相关损失程度由第三方机构核验后，赔偿采购人相关损失。</w:t>
            </w:r>
          </w:p>
          <w:p w14:paraId="6F2ADDD4">
            <w:pPr>
              <w:ind w:firstLine="276" w:firstLineChars="100"/>
              <w:rPr>
                <w:sz w:val="28"/>
                <w:szCs w:val="28"/>
              </w:rPr>
            </w:pPr>
            <w:r>
              <w:rPr>
                <w:rFonts w:hint="eastAsia"/>
                <w:sz w:val="28"/>
                <w:szCs w:val="28"/>
                <w:lang w:val="en-US" w:eastAsia="zh-CN"/>
              </w:rPr>
              <w:t>4.</w:t>
            </w:r>
            <w:r>
              <w:rPr>
                <w:rFonts w:hint="eastAsia"/>
                <w:sz w:val="28"/>
                <w:szCs w:val="28"/>
              </w:rPr>
              <w:t>成交人须严格遵守有关系统保密规定，未经采购人同意，不得将相关资料、文档、数据等向外泄露，因信息泄露造成影响的，由成交人承担全部责任。</w:t>
            </w:r>
          </w:p>
        </w:tc>
      </w:tr>
    </w:tbl>
    <w:p w14:paraId="29350B8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44"/>
          <w:lang w:val="en-US" w:eastAsia="zh-CN"/>
        </w:rPr>
      </w:pPr>
    </w:p>
    <w:sectPr>
      <w:footerReference r:id="rId3" w:type="default"/>
      <w:footerReference r:id="rId4" w:type="even"/>
      <w:pgSz w:w="11906" w:h="16838"/>
      <w:pgMar w:top="1956" w:right="1474" w:bottom="1843" w:left="1587" w:header="851" w:footer="1417" w:gutter="0"/>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70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C591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7C591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A34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F11B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3F11B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0"/>
  <w:bordersDoNotSurroundFooter w:val="0"/>
  <w:documentProtection w:enforcement="0"/>
  <w:defaultTabStop w:val="420"/>
  <w:evenAndOddHeaders w:val="1"/>
  <w:drawingGridHorizontalSpacing w:val="15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522B"/>
    <w:rsid w:val="01372215"/>
    <w:rsid w:val="02330CDF"/>
    <w:rsid w:val="024F0911"/>
    <w:rsid w:val="04795DA6"/>
    <w:rsid w:val="04DC09AC"/>
    <w:rsid w:val="04E53B98"/>
    <w:rsid w:val="04FD623C"/>
    <w:rsid w:val="05253B7D"/>
    <w:rsid w:val="058F2B50"/>
    <w:rsid w:val="05BD73C4"/>
    <w:rsid w:val="05DE0DAD"/>
    <w:rsid w:val="06D6478F"/>
    <w:rsid w:val="07303BD9"/>
    <w:rsid w:val="08F1409B"/>
    <w:rsid w:val="095506FC"/>
    <w:rsid w:val="0A212DC4"/>
    <w:rsid w:val="0A244D8A"/>
    <w:rsid w:val="0A330CC1"/>
    <w:rsid w:val="0A5873D2"/>
    <w:rsid w:val="0AFD7516"/>
    <w:rsid w:val="0B0277AA"/>
    <w:rsid w:val="0B057BF5"/>
    <w:rsid w:val="0B4B1501"/>
    <w:rsid w:val="0BE22C8C"/>
    <w:rsid w:val="0C6E3D99"/>
    <w:rsid w:val="0D5450EC"/>
    <w:rsid w:val="0D8F6F75"/>
    <w:rsid w:val="0D953957"/>
    <w:rsid w:val="0F220886"/>
    <w:rsid w:val="0F89673D"/>
    <w:rsid w:val="0F9F722F"/>
    <w:rsid w:val="103D3324"/>
    <w:rsid w:val="107E68E7"/>
    <w:rsid w:val="10A06723"/>
    <w:rsid w:val="10BB7BB4"/>
    <w:rsid w:val="11127111"/>
    <w:rsid w:val="11D1624A"/>
    <w:rsid w:val="11E97EF8"/>
    <w:rsid w:val="1215674D"/>
    <w:rsid w:val="126C54BB"/>
    <w:rsid w:val="128D43FF"/>
    <w:rsid w:val="12A97AC2"/>
    <w:rsid w:val="131C29E9"/>
    <w:rsid w:val="135A02D0"/>
    <w:rsid w:val="136D62E2"/>
    <w:rsid w:val="13A45FA7"/>
    <w:rsid w:val="14E909DB"/>
    <w:rsid w:val="152978D8"/>
    <w:rsid w:val="15527240"/>
    <w:rsid w:val="15604521"/>
    <w:rsid w:val="173408D6"/>
    <w:rsid w:val="17514558"/>
    <w:rsid w:val="17ED1F4D"/>
    <w:rsid w:val="17FB4AE6"/>
    <w:rsid w:val="1900114B"/>
    <w:rsid w:val="1A40546F"/>
    <w:rsid w:val="1A951111"/>
    <w:rsid w:val="1B537EA4"/>
    <w:rsid w:val="1C655C22"/>
    <w:rsid w:val="1C906C08"/>
    <w:rsid w:val="1E4379FE"/>
    <w:rsid w:val="1E9D0209"/>
    <w:rsid w:val="200547B4"/>
    <w:rsid w:val="20337548"/>
    <w:rsid w:val="204B3553"/>
    <w:rsid w:val="207A61E1"/>
    <w:rsid w:val="215C3E48"/>
    <w:rsid w:val="218926BE"/>
    <w:rsid w:val="21F66DC9"/>
    <w:rsid w:val="2279041B"/>
    <w:rsid w:val="23376A8B"/>
    <w:rsid w:val="23434FF3"/>
    <w:rsid w:val="235E22C1"/>
    <w:rsid w:val="2446250A"/>
    <w:rsid w:val="246240BB"/>
    <w:rsid w:val="247E2947"/>
    <w:rsid w:val="25090151"/>
    <w:rsid w:val="25290686"/>
    <w:rsid w:val="25A35D92"/>
    <w:rsid w:val="25ED2771"/>
    <w:rsid w:val="261072A7"/>
    <w:rsid w:val="26893045"/>
    <w:rsid w:val="26A420F1"/>
    <w:rsid w:val="26C10195"/>
    <w:rsid w:val="26E63E5F"/>
    <w:rsid w:val="27F214C3"/>
    <w:rsid w:val="280B42F7"/>
    <w:rsid w:val="290B39DC"/>
    <w:rsid w:val="29680C6F"/>
    <w:rsid w:val="29ED4157"/>
    <w:rsid w:val="2A287EC2"/>
    <w:rsid w:val="2A73623F"/>
    <w:rsid w:val="2AB2733C"/>
    <w:rsid w:val="2B030781"/>
    <w:rsid w:val="2B103D97"/>
    <w:rsid w:val="2B726976"/>
    <w:rsid w:val="2BE07DB0"/>
    <w:rsid w:val="2C31722A"/>
    <w:rsid w:val="2D480265"/>
    <w:rsid w:val="2D4C31F2"/>
    <w:rsid w:val="2D760F49"/>
    <w:rsid w:val="2D8D0BF1"/>
    <w:rsid w:val="2DC72229"/>
    <w:rsid w:val="2DE067FB"/>
    <w:rsid w:val="2E103922"/>
    <w:rsid w:val="2E9F03A0"/>
    <w:rsid w:val="2EC54C80"/>
    <w:rsid w:val="30871511"/>
    <w:rsid w:val="30E61DE5"/>
    <w:rsid w:val="310155E8"/>
    <w:rsid w:val="314142BA"/>
    <w:rsid w:val="31992C8A"/>
    <w:rsid w:val="31CF194F"/>
    <w:rsid w:val="3223410E"/>
    <w:rsid w:val="32CF778D"/>
    <w:rsid w:val="334F08DB"/>
    <w:rsid w:val="342462D6"/>
    <w:rsid w:val="34CD1F12"/>
    <w:rsid w:val="34E954F3"/>
    <w:rsid w:val="35137922"/>
    <w:rsid w:val="354E4284"/>
    <w:rsid w:val="35513D7D"/>
    <w:rsid w:val="35631A62"/>
    <w:rsid w:val="35B31A2A"/>
    <w:rsid w:val="35B330F3"/>
    <w:rsid w:val="35CF0B02"/>
    <w:rsid w:val="3610622E"/>
    <w:rsid w:val="36A006FB"/>
    <w:rsid w:val="36D867B6"/>
    <w:rsid w:val="37BA628F"/>
    <w:rsid w:val="38C604F2"/>
    <w:rsid w:val="38FC61BB"/>
    <w:rsid w:val="392C199E"/>
    <w:rsid w:val="394A0EC1"/>
    <w:rsid w:val="397A09DD"/>
    <w:rsid w:val="39B71846"/>
    <w:rsid w:val="3A623524"/>
    <w:rsid w:val="3AAE689F"/>
    <w:rsid w:val="3B2C726D"/>
    <w:rsid w:val="3B3112B4"/>
    <w:rsid w:val="3C3F6B4F"/>
    <w:rsid w:val="3CAE012F"/>
    <w:rsid w:val="3D4D2D2E"/>
    <w:rsid w:val="3D604BBE"/>
    <w:rsid w:val="3DD302DB"/>
    <w:rsid w:val="3E1800A3"/>
    <w:rsid w:val="3ECC7FFB"/>
    <w:rsid w:val="3ED40106"/>
    <w:rsid w:val="3FEC0A32"/>
    <w:rsid w:val="402473AF"/>
    <w:rsid w:val="40BB01C3"/>
    <w:rsid w:val="42721A93"/>
    <w:rsid w:val="42761CB9"/>
    <w:rsid w:val="42DD08B6"/>
    <w:rsid w:val="433901D7"/>
    <w:rsid w:val="43C071B6"/>
    <w:rsid w:val="440260F0"/>
    <w:rsid w:val="445813B3"/>
    <w:rsid w:val="44737368"/>
    <w:rsid w:val="448B6EF7"/>
    <w:rsid w:val="448F1E0D"/>
    <w:rsid w:val="452059D0"/>
    <w:rsid w:val="458212C8"/>
    <w:rsid w:val="45971E73"/>
    <w:rsid w:val="459F2F15"/>
    <w:rsid w:val="459F37E9"/>
    <w:rsid w:val="462B3DD5"/>
    <w:rsid w:val="468D4E1F"/>
    <w:rsid w:val="46FD6C47"/>
    <w:rsid w:val="47351CE1"/>
    <w:rsid w:val="476447B8"/>
    <w:rsid w:val="477C59F3"/>
    <w:rsid w:val="47971955"/>
    <w:rsid w:val="47E41B07"/>
    <w:rsid w:val="48971DA8"/>
    <w:rsid w:val="49641F07"/>
    <w:rsid w:val="49A34982"/>
    <w:rsid w:val="49C76797"/>
    <w:rsid w:val="4AAC152E"/>
    <w:rsid w:val="4AEF6A7B"/>
    <w:rsid w:val="4B642C8C"/>
    <w:rsid w:val="4B662538"/>
    <w:rsid w:val="4BBF0AF9"/>
    <w:rsid w:val="4E1E3C51"/>
    <w:rsid w:val="4E3246A1"/>
    <w:rsid w:val="4F65614E"/>
    <w:rsid w:val="4F68340D"/>
    <w:rsid w:val="4F7A4F12"/>
    <w:rsid w:val="4F9D402E"/>
    <w:rsid w:val="4FCC4A71"/>
    <w:rsid w:val="50645A48"/>
    <w:rsid w:val="50716EC6"/>
    <w:rsid w:val="51EA150A"/>
    <w:rsid w:val="51EA6472"/>
    <w:rsid w:val="52194221"/>
    <w:rsid w:val="52475ED6"/>
    <w:rsid w:val="524D7D37"/>
    <w:rsid w:val="526356E8"/>
    <w:rsid w:val="52B520C7"/>
    <w:rsid w:val="535D3A74"/>
    <w:rsid w:val="537B4DEB"/>
    <w:rsid w:val="54676C88"/>
    <w:rsid w:val="547E6196"/>
    <w:rsid w:val="54EE7959"/>
    <w:rsid w:val="551676DF"/>
    <w:rsid w:val="564B23DE"/>
    <w:rsid w:val="56D10FA0"/>
    <w:rsid w:val="56E315EB"/>
    <w:rsid w:val="56EC5E54"/>
    <w:rsid w:val="57501DA6"/>
    <w:rsid w:val="578A191C"/>
    <w:rsid w:val="57A3588E"/>
    <w:rsid w:val="580A43FE"/>
    <w:rsid w:val="58294E7D"/>
    <w:rsid w:val="583E3570"/>
    <w:rsid w:val="58541503"/>
    <w:rsid w:val="58677081"/>
    <w:rsid w:val="59B7675A"/>
    <w:rsid w:val="5AAF6DFC"/>
    <w:rsid w:val="5B136703"/>
    <w:rsid w:val="5B160B7D"/>
    <w:rsid w:val="5B1A7584"/>
    <w:rsid w:val="5B5315D3"/>
    <w:rsid w:val="5BAF3E44"/>
    <w:rsid w:val="5BC03872"/>
    <w:rsid w:val="5C1B663E"/>
    <w:rsid w:val="5CDE5F6B"/>
    <w:rsid w:val="5CF36B4A"/>
    <w:rsid w:val="5D9C74BD"/>
    <w:rsid w:val="5DEB2C25"/>
    <w:rsid w:val="5E292228"/>
    <w:rsid w:val="5E6843C8"/>
    <w:rsid w:val="5F3828C7"/>
    <w:rsid w:val="5FB06E65"/>
    <w:rsid w:val="60434604"/>
    <w:rsid w:val="60A23FD7"/>
    <w:rsid w:val="614F7276"/>
    <w:rsid w:val="61B35DB3"/>
    <w:rsid w:val="61C97752"/>
    <w:rsid w:val="61D059BD"/>
    <w:rsid w:val="61E9262F"/>
    <w:rsid w:val="61F422E4"/>
    <w:rsid w:val="62862A2A"/>
    <w:rsid w:val="62AC31F3"/>
    <w:rsid w:val="63166BB6"/>
    <w:rsid w:val="6320760E"/>
    <w:rsid w:val="632320D3"/>
    <w:rsid w:val="63334363"/>
    <w:rsid w:val="638C66B1"/>
    <w:rsid w:val="639D5F0D"/>
    <w:rsid w:val="63B07910"/>
    <w:rsid w:val="650D352D"/>
    <w:rsid w:val="65AB76B1"/>
    <w:rsid w:val="65C0444E"/>
    <w:rsid w:val="66827FD6"/>
    <w:rsid w:val="66C24F1F"/>
    <w:rsid w:val="6755263F"/>
    <w:rsid w:val="677C4CD5"/>
    <w:rsid w:val="67846E87"/>
    <w:rsid w:val="68A015B4"/>
    <w:rsid w:val="68E67946"/>
    <w:rsid w:val="69110C93"/>
    <w:rsid w:val="69112DF3"/>
    <w:rsid w:val="694B4632"/>
    <w:rsid w:val="6AB74287"/>
    <w:rsid w:val="6AC3133E"/>
    <w:rsid w:val="6AEA630C"/>
    <w:rsid w:val="6B4A642A"/>
    <w:rsid w:val="6B7B31EF"/>
    <w:rsid w:val="6C170235"/>
    <w:rsid w:val="6C545A74"/>
    <w:rsid w:val="6C7C3929"/>
    <w:rsid w:val="6C9446F5"/>
    <w:rsid w:val="6F053553"/>
    <w:rsid w:val="6F120578"/>
    <w:rsid w:val="6F371102"/>
    <w:rsid w:val="6F9F49B0"/>
    <w:rsid w:val="6FD37055"/>
    <w:rsid w:val="6FFE36EE"/>
    <w:rsid w:val="71671D9D"/>
    <w:rsid w:val="719D4981"/>
    <w:rsid w:val="71FE4023"/>
    <w:rsid w:val="727B233D"/>
    <w:rsid w:val="72C36229"/>
    <w:rsid w:val="72D64AE3"/>
    <w:rsid w:val="738B7B30"/>
    <w:rsid w:val="738D4520"/>
    <w:rsid w:val="744061B6"/>
    <w:rsid w:val="746A588D"/>
    <w:rsid w:val="74861745"/>
    <w:rsid w:val="74B44EC7"/>
    <w:rsid w:val="75795A4A"/>
    <w:rsid w:val="758A1DE5"/>
    <w:rsid w:val="762A6341"/>
    <w:rsid w:val="767478A8"/>
    <w:rsid w:val="76B653BA"/>
    <w:rsid w:val="7715464B"/>
    <w:rsid w:val="77687474"/>
    <w:rsid w:val="77C56D70"/>
    <w:rsid w:val="780F6F82"/>
    <w:rsid w:val="78E96762"/>
    <w:rsid w:val="78F80721"/>
    <w:rsid w:val="796F1266"/>
    <w:rsid w:val="79B839DC"/>
    <w:rsid w:val="79E622F9"/>
    <w:rsid w:val="79FC742D"/>
    <w:rsid w:val="7B08792B"/>
    <w:rsid w:val="7B3957EC"/>
    <w:rsid w:val="7B943CCB"/>
    <w:rsid w:val="7BB10350"/>
    <w:rsid w:val="7BD5403F"/>
    <w:rsid w:val="7BF24065"/>
    <w:rsid w:val="7C5B6ED3"/>
    <w:rsid w:val="7CB730E7"/>
    <w:rsid w:val="7CB92ECF"/>
    <w:rsid w:val="7CFD581C"/>
    <w:rsid w:val="7D0C38B8"/>
    <w:rsid w:val="7D69505D"/>
    <w:rsid w:val="7FCB32BF"/>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1470</Words>
  <Characters>1567</Characters>
  <Lines>0</Lines>
  <Paragraphs>0</Paragraphs>
  <TotalTime>16</TotalTime>
  <ScaleCrop>false</ScaleCrop>
  <LinksUpToDate>false</LinksUpToDate>
  <CharactersWithSpaces>1577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2025-08-13T02:27:00Z</dcterms:created>
  <dc:creator>WM</dc:creator>
  <cp:lastModifiedBy>梦想飞</cp:lastModifiedBy>
  <dcterms:modified xsi:type="dcterms:W3CDTF">2025-11-28T10:38:49Z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5D35E7163BD74D45A1B4E90034DCE5DE_13</vt:lpwstr>
  </property>
  <property fmtid="{D5CDD505-2E9C-101B-9397-08002B2CF9AE}" pid="4" name="KSOTemplateDocerSaveRecord">
    <vt:lpwstr>eyJoZGlkIjoiZDE1M2UwN2VlNDg0YjhkMWQ5OTNiZGY1YjdhMWY1OWUiLCJ1c2VySWQiOiIyMTU3MTg1MDAifQ==</vt:lpwstr>
  </property>
</Properties>
</file>