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331E5">
      <w:pPr>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w:t>
      </w:r>
    </w:p>
    <w:p w14:paraId="3E3F3464">
      <w:pPr>
        <w:rPr>
          <w:rFonts w:hint="eastAsia" w:ascii="黑体" w:hAnsi="黑体" w:eastAsia="黑体" w:cs="黑体"/>
          <w:lang w:val="en-US" w:eastAsia="zh-CN"/>
        </w:rPr>
      </w:pPr>
    </w:p>
    <w:p w14:paraId="2F47C0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医院精细化绩效管理方案升级服务需求参数</w:t>
      </w:r>
    </w:p>
    <w:p w14:paraId="1AA71139">
      <w:pPr>
        <w:rPr>
          <w:rFonts w:hint="eastAsia"/>
          <w:lang w:val="en-US" w:eastAsia="zh-CN"/>
        </w:rPr>
      </w:pPr>
    </w:p>
    <w:p w14:paraId="3936ED50">
      <w:pPr>
        <w:ind w:firstLine="632" w:firstLineChars="200"/>
        <w:rPr>
          <w:rFonts w:hint="eastAsia"/>
        </w:rPr>
      </w:pPr>
      <w:r>
        <w:rPr>
          <w:rFonts w:hint="eastAsia"/>
        </w:rPr>
        <w:t>针对医院精细化绩效管理系统内的绩效方案作出如下升级：</w:t>
      </w:r>
    </w:p>
    <w:p w14:paraId="428C7BE7">
      <w:pPr>
        <w:ind w:firstLine="632" w:firstLineChars="200"/>
        <w:rPr>
          <w:rFonts w:hint="eastAsia"/>
        </w:rPr>
      </w:pPr>
      <w:r>
        <w:rPr>
          <w:rFonts w:hint="eastAsia"/>
        </w:rPr>
        <w:t>本次绩效方案升级引入三明医改改革模式，以激励员工积极性为目的，向工作量大、劳动强度大、技术风险高的岗位倾斜，充分体现同工同酬、多劳多得、优劳优酬、公开透明、兼顾公平的分配原则，以工作效率、质量安全等为考核分配依据。在原有精细化绩效管理系统上重新升级调整奖励性绩效工资的核算及分配方案。</w:t>
      </w:r>
    </w:p>
    <w:p w14:paraId="01A91A5E">
      <w:pPr>
        <w:ind w:firstLine="632" w:firstLineChars="200"/>
        <w:rPr>
          <w:rFonts w:hint="eastAsia"/>
        </w:rPr>
      </w:pPr>
      <w:r>
        <w:rPr>
          <w:rFonts w:hint="eastAsia"/>
        </w:rPr>
        <w:t>本次绩效方案升级以预算为导向，以“大门诊、精病房”为年度目标，先确定全年绩效工资预算总额，再分担到各月绩效工资总额。门诊、住院绩效工资按RBRVS工作量点数、DRG工作量点数乘以单价进行核算，绩效工资预算总额可随着医疗业务收入的变化而进行调整。</w:t>
      </w:r>
    </w:p>
    <w:p w14:paraId="2FE31B72">
      <w:pPr>
        <w:ind w:firstLine="632" w:firstLineChars="200"/>
        <w:rPr>
          <w:rFonts w:hint="eastAsia"/>
        </w:rPr>
      </w:pPr>
      <w:r>
        <w:rPr>
          <w:rFonts w:hint="eastAsia"/>
        </w:rPr>
        <w:t>一、门诊、住院分别单独核算奖励性绩效工资；</w:t>
      </w:r>
    </w:p>
    <w:p w14:paraId="278864A6">
      <w:pPr>
        <w:ind w:firstLine="632" w:firstLineChars="200"/>
        <w:rPr>
          <w:rFonts w:hint="eastAsia"/>
        </w:rPr>
      </w:pPr>
      <w:r>
        <w:rPr>
          <w:rFonts w:hint="eastAsia"/>
        </w:rPr>
        <w:t>（一）门诊绩效工资根据工作量核算（RBRVS）；</w:t>
      </w:r>
    </w:p>
    <w:p w14:paraId="5A85D45F">
      <w:pPr>
        <w:ind w:firstLine="632" w:firstLineChars="200"/>
        <w:rPr>
          <w:rFonts w:hint="eastAsia"/>
        </w:rPr>
      </w:pPr>
      <w:r>
        <w:rPr>
          <w:rFonts w:hint="eastAsia"/>
        </w:rPr>
        <w:t>（二）住院分别按医保DRG结算收入和非医保DRG结算收入进行核算；</w:t>
      </w:r>
    </w:p>
    <w:p w14:paraId="19711FF7">
      <w:pPr>
        <w:ind w:firstLine="632" w:firstLineChars="200"/>
        <w:rPr>
          <w:rFonts w:hint="eastAsia"/>
        </w:rPr>
      </w:pPr>
      <w:r>
        <w:rPr>
          <w:rFonts w:hint="eastAsia"/>
        </w:rPr>
        <w:t>（三）绩效工资核算重点倾向门诊，设置在同一服务项目工作量点数上门诊比住院的比重大，助推门诊业务发展；</w:t>
      </w:r>
    </w:p>
    <w:p w14:paraId="359D4DC4">
      <w:pPr>
        <w:ind w:firstLine="632" w:firstLineChars="200"/>
        <w:rPr>
          <w:rFonts w:hint="eastAsia"/>
        </w:rPr>
      </w:pPr>
      <w:r>
        <w:rPr>
          <w:rFonts w:hint="eastAsia"/>
        </w:rPr>
        <w:t>二、加强成本核算及考核，将项目成本、病种成本纳入奖励性绩效工资核算，强化成本管控；</w:t>
      </w:r>
    </w:p>
    <w:p w14:paraId="71974DEE">
      <w:pPr>
        <w:ind w:firstLine="632" w:firstLineChars="200"/>
        <w:rPr>
          <w:rFonts w:hint="eastAsia"/>
        </w:rPr>
      </w:pPr>
      <w:r>
        <w:rPr>
          <w:rFonts w:hint="eastAsia"/>
        </w:rPr>
        <w:t>三、调整优化绩效指标考核，结合医院实际情况，把国考监测指标中比较薄弱的项目纳入绩效考核；</w:t>
      </w:r>
    </w:p>
    <w:p w14:paraId="03740E2E">
      <w:pPr>
        <w:ind w:firstLine="632" w:firstLineChars="200"/>
        <w:rPr>
          <w:rFonts w:hint="eastAsia"/>
        </w:rPr>
      </w:pPr>
      <w:r>
        <w:rPr>
          <w:rFonts w:hint="eastAsia"/>
        </w:rPr>
        <w:t>四、调整优化单项奖励，分门诊与住院两部分，提高门诊中医治疗项目、中草药项目、手术项目等单项奖励额度高于住院；</w:t>
      </w:r>
    </w:p>
    <w:p w14:paraId="6CFBB64E">
      <w:pPr>
        <w:ind w:firstLine="632" w:firstLineChars="200"/>
        <w:rPr>
          <w:rFonts w:hint="eastAsia"/>
        </w:rPr>
      </w:pPr>
      <w:r>
        <w:rPr>
          <w:rFonts w:hint="eastAsia"/>
        </w:rPr>
        <w:t>五、加强病种核算，设置项目成本率，优化病种结构、提升效率、控制成本；</w:t>
      </w:r>
    </w:p>
    <w:p w14:paraId="079A474F">
      <w:pPr>
        <w:ind w:firstLine="632" w:firstLineChars="200"/>
        <w:rPr>
          <w:rFonts w:hint="eastAsia"/>
        </w:rPr>
      </w:pPr>
      <w:r>
        <w:rPr>
          <w:rFonts w:hint="eastAsia"/>
        </w:rPr>
        <w:t>六、完善查询功能，增加与完善相关科室查询科室绩效核算明细、收入、成本、工作量、单项奖励等各项明细功能与表格，增强核算透明度与结果说服力。</w:t>
      </w:r>
    </w:p>
    <w:sectPr>
      <w:pgSz w:w="11906" w:h="16838"/>
      <w:pgMar w:top="1956" w:right="1474" w:bottom="1843" w:left="1587" w:header="851" w:footer="1417" w:gutter="0"/>
      <w:cols w:space="0" w:num="1"/>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599DC"/>
    <w:multiLevelType w:val="multilevel"/>
    <w:tmpl w:val="677599DC"/>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0"/>
  <w:bordersDoNotSurroundFooter w:val="0"/>
  <w:documentProtection w:enforcement="0"/>
  <w:defaultTabStop w:val="420"/>
  <w:drawingGridHorizontalSpacing w:val="158"/>
  <w:drawingGridVerticalSpacing w:val="29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14509"/>
    <w:rsid w:val="0B8E145D"/>
    <w:rsid w:val="1AC346A9"/>
    <w:rsid w:val="247F3B73"/>
    <w:rsid w:val="47201E1E"/>
    <w:rsid w:val="4BCD2C2F"/>
    <w:rsid w:val="5C3E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character" w:customStyle="1" w:styleId="14">
    <w:name w:val="font31"/>
    <w:basedOn w:val="13"/>
    <w:qFormat/>
    <w:uiPriority w:val="0"/>
    <w:rPr>
      <w:rFonts w:hint="eastAsia" w:ascii="宋体" w:hAnsi="宋体" w:eastAsia="宋体" w:cs="宋体"/>
      <w:color w:val="000000"/>
      <w:sz w:val="24"/>
      <w:szCs w:val="24"/>
      <w:u w:val="none"/>
    </w:rPr>
  </w:style>
  <w:style w:type="character" w:customStyle="1" w:styleId="15">
    <w:name w:val="font41"/>
    <w:basedOn w:val="13"/>
    <w:qFormat/>
    <w:uiPriority w:val="0"/>
    <w:rPr>
      <w:rFonts w:ascii="微软雅黑" w:hAnsi="微软雅黑" w:eastAsia="微软雅黑" w:cs="微软雅黑"/>
      <w:color w:val="000000"/>
      <w:sz w:val="24"/>
      <w:szCs w:val="24"/>
      <w:u w:val="none"/>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666</Words>
  <Characters>680</Characters>
  <Lines>0</Lines>
  <Paragraphs>0</Paragraphs>
  <TotalTime>2</TotalTime>
  <ScaleCrop>false</ScaleCrop>
  <LinksUpToDate>false</LinksUpToDate>
  <CharactersWithSpaces>680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2025-03-12T08:03:00Z</dcterms:created>
  <dc:creator>连式彬</dc:creator>
  <cp:lastModifiedBy>梦想飞</cp:lastModifiedBy>
  <dcterms:modified xsi:type="dcterms:W3CDTF">2025-07-25T08:26:53Z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eyJoZGlkIjoiMGI4MGVlOGMwOThiZDdkMWY4NDdlMzI4YTgzMThiZTIiLCJ1c2VySWQiOiIyODkxMDA4NTQifQ==</vt:lpwstr>
  </property>
  <property fmtid="{D5CDD505-2E9C-101B-9397-08002B2CF9AE}" pid="4" name="ICV">
    <vt:lpwstr>B112DB7AAD7F49438F2B62BB1355945C_13</vt:lpwstr>
  </property>
</Properties>
</file>